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auto"/>
          <w:spacing w:val="76"/>
          <w:sz w:val="24"/>
          <w:highlight w:val="none"/>
        </w:rPr>
      </w:pPr>
      <w:r>
        <w:rPr>
          <w:rFonts w:ascii="宋体" w:hAnsi="宋体" w:cs="宋体"/>
          <w:b/>
          <w:color w:val="auto"/>
          <w:spacing w:val="76"/>
          <w:sz w:val="24"/>
          <w:highlight w:val="none"/>
        </w:rPr>
      </w:r>
      <w:r/>
    </w:p>
    <w:p>
      <w:pPr>
        <w:jc w:val="center"/>
        <w:rPr>
          <w:rFonts w:ascii="宋体" w:hAnsi="宋体" w:cs="宋体"/>
          <w:b/>
          <w:color w:val="auto"/>
          <w:spacing w:val="76"/>
          <w:sz w:val="24"/>
          <w:highlight w:val="none"/>
        </w:rPr>
      </w:pPr>
      <w:r>
        <w:rPr>
          <w:rFonts w:ascii="宋体" w:hAnsi="宋体" w:cs="宋体"/>
          <w:b/>
          <w:color w:val="auto"/>
          <w:spacing w:val="76"/>
          <w:sz w:val="24"/>
          <w:highlight w:val="none"/>
        </w:rPr>
      </w:r>
      <w:r/>
    </w:p>
    <w:p>
      <w:pPr>
        <w:pStyle w:val="869"/>
        <w:ind w:firstLine="0"/>
        <w:rPr>
          <w:rFonts w:ascii="宋体" w:hAnsi="宋体" w:cs="宋体"/>
          <w:b/>
          <w:color w:val="auto"/>
          <w:spacing w:val="76"/>
          <w:sz w:val="24"/>
          <w:highlight w:val="none"/>
        </w:rPr>
      </w:pPr>
      <w:r>
        <w:rPr>
          <w:rFonts w:ascii="宋体" w:hAnsi="宋体" w:cs="宋体"/>
          <w:b/>
          <w:color w:val="auto"/>
          <w:spacing w:val="76"/>
          <w:sz w:val="24"/>
          <w:highlight w:val="none"/>
        </w:rPr>
      </w:r>
      <w:r/>
    </w:p>
    <w:p>
      <w:pPr>
        <w:pStyle w:val="869"/>
        <w:rPr>
          <w:rFonts w:ascii="宋体" w:hAnsi="宋体" w:cs="宋体"/>
          <w:b/>
          <w:color w:val="auto"/>
          <w:spacing w:val="76"/>
          <w:sz w:val="24"/>
          <w:highlight w:val="none"/>
        </w:rPr>
      </w:pPr>
      <w:r>
        <w:rPr>
          <w:rFonts w:ascii="宋体" w:hAnsi="宋体" w:cs="宋体"/>
          <w:b/>
          <w:color w:val="auto"/>
          <w:spacing w:val="76"/>
          <w:sz w:val="24"/>
          <w:highlight w:val="none"/>
        </w:rPr>
      </w:r>
      <w:r/>
    </w:p>
    <w:p>
      <w:pPr>
        <w:jc w:val="center"/>
        <w:rPr>
          <w:rFonts w:ascii="宋体" w:hAnsi="宋体" w:cs="宋体"/>
          <w:b/>
          <w:color w:val="auto"/>
          <w:spacing w:val="76"/>
          <w:sz w:val="156"/>
          <w:highlight w:val="none"/>
        </w:rPr>
      </w:pPr>
      <w:r>
        <w:rPr>
          <w:rFonts w:hint="eastAsia" w:ascii="宋体" w:hAnsi="宋体" w:cs="宋体"/>
          <w:b/>
          <w:color w:val="auto"/>
          <w:spacing w:val="76"/>
          <w:sz w:val="156"/>
          <w:highlight w:val="none"/>
        </w:rPr>
        <w:t xml:space="preserve">招标文件</w:t>
      </w:r>
      <w:r/>
    </w:p>
    <w:p>
      <w:pPr>
        <w:rPr>
          <w:rFonts w:ascii="宋体" w:hAnsi="宋体" w:cs="宋体"/>
          <w:b/>
          <w:color w:val="auto"/>
          <w:sz w:val="24"/>
          <w:highlight w:val="none"/>
        </w:rPr>
      </w:pPr>
      <w:r>
        <w:rPr>
          <w:rFonts w:ascii="宋体" w:hAnsi="宋体" w:cs="宋体"/>
          <w:b/>
          <w:color w:val="auto"/>
          <w:sz w:val="24"/>
          <w:highlight w:val="none"/>
        </w:rPr>
      </w:r>
      <w:r/>
    </w:p>
    <w:p>
      <w:pPr>
        <w:pStyle w:val="869"/>
        <w:rPr>
          <w:rFonts w:ascii="宋体" w:hAnsi="宋体" w:cs="宋体"/>
          <w:color w:val="auto"/>
          <w:sz w:val="32"/>
          <w:highlight w:val="none"/>
        </w:rPr>
      </w:pPr>
      <w:r>
        <w:rPr>
          <w:rFonts w:ascii="宋体" w:hAnsi="宋体" w:cs="宋体"/>
          <w:color w:val="auto"/>
          <w:sz w:val="32"/>
          <w:highlight w:val="none"/>
        </w:rPr>
      </w:r>
      <w:r/>
    </w:p>
    <w:p>
      <w:pPr>
        <w:ind w:firstLine="640"/>
        <w:spacing w:line="600" w:lineRule="exact"/>
        <w:rPr>
          <w:rFonts w:hint="default" w:ascii="宋体" w:hAnsi="宋体" w:eastAsia="宋体" w:cs="宋体"/>
          <w:color w:val="auto"/>
          <w:sz w:val="32"/>
          <w:highlight w:val="none"/>
          <w:lang w:val="en-US" w:eastAsia="zh-CN"/>
        </w:rPr>
      </w:pPr>
      <w:r>
        <w:rPr>
          <w:rFonts w:hint="eastAsia" w:ascii="宋体" w:hAnsi="宋体" w:cs="宋体"/>
          <w:color w:val="auto"/>
          <w:sz w:val="32"/>
          <w:highlight w:val="none"/>
        </w:rPr>
        <w:t xml:space="preserve">项目编号：</w:t>
      </w:r>
      <w:r>
        <w:rPr>
          <w:rFonts w:hint="eastAsia" w:ascii="宋体" w:hAnsi="宋体" w:cs="宋体"/>
          <w:color w:val="auto"/>
          <w:sz w:val="32"/>
          <w:highlight w:val="none"/>
          <w:lang w:eastAsia="zh-CN"/>
        </w:rPr>
        <w:t xml:space="preserve">JSZC-320303-JSRM-G2025-0013</w:t>
      </w:r>
      <w:r/>
    </w:p>
    <w:p>
      <w:pPr>
        <w:ind w:firstLine="960"/>
        <w:spacing w:line="600" w:lineRule="exact"/>
        <w:rPr>
          <w:rFonts w:ascii="宋体" w:hAnsi="宋体" w:cs="宋体"/>
          <w:color w:val="auto"/>
          <w:sz w:val="32"/>
          <w:highlight w:val="none"/>
        </w:rPr>
      </w:pPr>
      <w:r>
        <w:rPr>
          <w:rFonts w:ascii="宋体" w:hAnsi="宋体" w:cs="宋体"/>
          <w:color w:val="auto"/>
          <w:sz w:val="32"/>
          <w:highlight w:val="none"/>
        </w:rPr>
      </w:r>
      <w:r/>
    </w:p>
    <w:p>
      <w:pPr>
        <w:ind w:firstLine="640"/>
        <w:spacing w:line="600" w:lineRule="exact"/>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项目名称：</w:t>
      </w:r>
      <w:r>
        <w:rPr>
          <w:rFonts w:hint="eastAsia" w:ascii="宋体" w:hAnsi="宋体" w:cs="宋体"/>
          <w:color w:val="auto"/>
          <w:sz w:val="32"/>
          <w:highlight w:val="none"/>
          <w:lang w:eastAsia="zh-CN"/>
        </w:rPr>
        <w:t xml:space="preserve">云龙区居民小区生活垃圾分类服务项目</w:t>
      </w:r>
      <w:r/>
    </w:p>
    <w:p>
      <w:pPr>
        <w:ind w:firstLine="960"/>
        <w:spacing w:line="600" w:lineRule="exact"/>
        <w:rPr>
          <w:rFonts w:ascii="宋体" w:hAnsi="宋体" w:cs="宋体"/>
          <w:color w:val="auto"/>
          <w:sz w:val="32"/>
          <w:highlight w:val="none"/>
        </w:rPr>
      </w:pPr>
      <w:r>
        <w:rPr>
          <w:rFonts w:ascii="宋体" w:hAnsi="宋体" w:cs="宋体"/>
          <w:color w:val="auto"/>
          <w:sz w:val="32"/>
          <w:highlight w:val="none"/>
        </w:rPr>
      </w:r>
      <w:r/>
    </w:p>
    <w:p>
      <w:pPr>
        <w:ind w:firstLine="640"/>
        <w:spacing w:line="600" w:lineRule="exact"/>
        <w:rPr>
          <w:rFonts w:hint="eastAsia" w:ascii="宋体" w:hAnsi="宋体" w:eastAsia="宋体" w:cs="宋体"/>
          <w:color w:val="auto"/>
          <w:sz w:val="32"/>
          <w:highlight w:val="none"/>
          <w:lang w:eastAsia="zh-CN"/>
        </w:rPr>
      </w:pPr>
      <w:r>
        <w:rPr>
          <w:rFonts w:hint="eastAsia" w:ascii="宋体" w:hAnsi="宋体" w:cs="宋体"/>
          <w:color w:val="auto"/>
          <w:sz w:val="32"/>
          <w:highlight w:val="none"/>
        </w:rPr>
        <w:t xml:space="preserve">采 购 人：</w:t>
      </w:r>
      <w:r>
        <w:rPr>
          <w:rFonts w:hint="eastAsia" w:ascii="宋体" w:hAnsi="宋体" w:cs="宋体"/>
          <w:color w:val="auto"/>
          <w:sz w:val="32"/>
          <w:highlight w:val="none"/>
          <w:lang w:eastAsia="zh-CN"/>
        </w:rPr>
        <w:t xml:space="preserve">徐州市云龙区城市管理局</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886"/>
        <w:rPr>
          <w:rFonts w:ascii="宋体" w:hAnsi="宋体" w:cs="宋体"/>
          <w:color w:val="auto"/>
          <w:highlight w:val="none"/>
        </w:rPr>
      </w:pPr>
      <w:r>
        <w:rPr>
          <w:rFonts w:ascii="宋体" w:hAnsi="宋体" w:cs="宋体"/>
          <w:color w:val="auto"/>
          <w:highlight w:val="none"/>
        </w:rPr>
      </w:r>
      <w:r/>
    </w:p>
    <w:p>
      <w:pPr>
        <w:ind w:right="-159" w:firstLine="2112"/>
        <w:spacing w:line="30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采购代理机构：</w:t>
      </w:r>
      <w:r>
        <w:rPr>
          <w:rFonts w:hint="eastAsia" w:ascii="宋体" w:hAnsi="宋体" w:cs="宋体"/>
          <w:color w:val="auto"/>
          <w:sz w:val="30"/>
          <w:highlight w:val="none"/>
          <w:lang w:eastAsia="zh-CN"/>
        </w:rPr>
        <w:t xml:space="preserve">江苏润沐工程管理咨询有限公司</w:t>
      </w:r>
      <w:r/>
    </w:p>
    <w:p>
      <w:pPr>
        <w:jc w:val="center"/>
        <w:spacing w:line="360" w:lineRule="auto"/>
        <w:rPr>
          <w:rFonts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六</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一</w:t>
      </w:r>
      <w:r>
        <w:rPr>
          <w:rFonts w:hint="eastAsia" w:ascii="宋体" w:hAnsi="宋体" w:cs="宋体"/>
          <w:bCs/>
          <w:color w:val="auto"/>
          <w:sz w:val="30"/>
          <w:highlight w:val="none"/>
        </w:rPr>
        <w:t xml:space="preserve">月</w:t>
      </w:r>
      <w:r/>
    </w:p>
    <w:p>
      <w:pPr>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目 录</w:t>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907"/>
          <w:rFonts w:hint="eastAsia" w:ascii="宋体" w:hAnsi="宋体" w:cs="宋体"/>
          <w:color w:val="auto"/>
          <w:sz w:val="30"/>
          <w:highlight w:val="none"/>
          <w:u w:val="none"/>
        </w:rPr>
        <w:t xml:space="preserve">第一章  投标邀请</w:t>
      </w:r>
      <w:r>
        <w:rPr>
          <w:rStyle w:val="907"/>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907"/>
          <w:rFonts w:hint="eastAsia" w:ascii="宋体" w:hAnsi="宋体" w:cs="宋体"/>
          <w:color w:val="auto"/>
          <w:sz w:val="30"/>
          <w:highlight w:val="none"/>
          <w:u w:val="none"/>
        </w:rPr>
        <w:t xml:space="preserve">第二章  投标人须知</w:t>
      </w:r>
      <w:r>
        <w:rPr>
          <w:rStyle w:val="907"/>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907"/>
          <w:rFonts w:hint="eastAsia" w:ascii="宋体" w:hAnsi="宋体" w:cs="宋体"/>
          <w:color w:val="auto"/>
          <w:sz w:val="30"/>
          <w:highlight w:val="none"/>
          <w:u w:val="none"/>
        </w:rPr>
        <w:t xml:space="preserve">第三章  投标资料表</w:t>
      </w:r>
      <w:r>
        <w:rPr>
          <w:rStyle w:val="907"/>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907"/>
          <w:rFonts w:hint="eastAsia" w:ascii="宋体" w:hAnsi="宋体" w:cs="宋体"/>
          <w:color w:val="auto"/>
          <w:sz w:val="30"/>
          <w:highlight w:val="none"/>
          <w:u w:val="none"/>
        </w:rPr>
        <w:t xml:space="preserve">第四章  评标标准</w:t>
      </w:r>
      <w:r>
        <w:rPr>
          <w:rStyle w:val="907"/>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907"/>
          <w:rFonts w:hint="eastAsia" w:ascii="宋体" w:hAnsi="宋体" w:cs="宋体"/>
          <w:color w:val="auto"/>
          <w:sz w:val="30"/>
          <w:highlight w:val="none"/>
          <w:u w:val="none"/>
        </w:rPr>
        <w:t xml:space="preserve">第五章  拟签订的合同文本</w:t>
      </w:r>
      <w:r>
        <w:rPr>
          <w:rStyle w:val="907"/>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907"/>
          <w:rFonts w:hint="eastAsia" w:ascii="宋体" w:hAnsi="宋体" w:cs="宋体"/>
          <w:color w:val="auto"/>
          <w:sz w:val="30"/>
          <w:highlight w:val="none"/>
          <w:u w:val="none"/>
        </w:rPr>
        <w:t xml:space="preserve">第六章  采购需求</w:t>
      </w:r>
      <w:r>
        <w:rPr>
          <w:rStyle w:val="907"/>
          <w:rFonts w:hint="eastAsia" w:ascii="宋体" w:hAnsi="宋体" w:cs="宋体"/>
          <w:color w:val="auto"/>
          <w:sz w:val="30"/>
          <w:highlight w:val="none"/>
          <w:u w:val="none"/>
        </w:rPr>
        <w:fldChar w:fldCharType="end"/>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ind w:firstLine="21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907"/>
          <w:rFonts w:hint="eastAsia" w:ascii="宋体" w:hAnsi="宋体" w:cs="宋体"/>
          <w:color w:val="auto"/>
          <w:sz w:val="30"/>
          <w:highlight w:val="none"/>
          <w:u w:val="none"/>
        </w:rPr>
        <w:t xml:space="preserve">第七章  投标文件相关格式</w:t>
      </w:r>
      <w:r>
        <w:rPr>
          <w:rStyle w:val="907"/>
          <w:rFonts w:hint="eastAsia" w:ascii="宋体" w:hAnsi="宋体" w:cs="宋体"/>
          <w:color w:val="auto"/>
          <w:sz w:val="30"/>
          <w:highlight w:val="none"/>
          <w:u w:val="none"/>
        </w:rPr>
        <w:fldChar w:fldCharType="end"/>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jc w:val="center"/>
        <w:spacing w:line="519" w:lineRule="atLeast"/>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auto"/>
          <w:sz w:val="44"/>
          <w:highlight w:val="none"/>
        </w:rPr>
      </w:r>
      <w:r/>
    </w:p>
    <w:p>
      <w:pPr>
        <w:jc w:val="center"/>
        <w:spacing w:line="519" w:lineRule="atLeast"/>
        <w:rPr>
          <w:rFonts w:ascii="宋体" w:hAnsi="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云龙区居民小区生活垃圾分类服务项目</w:t>
      </w:r>
      <w:r>
        <w:rPr>
          <w:rFonts w:hint="eastAsia" w:ascii="宋体" w:hAnsi="宋体" w:cs="宋体"/>
          <w:b/>
          <w:color w:val="auto"/>
          <w:sz w:val="44"/>
          <w:szCs w:val="44"/>
          <w:highlight w:val="none"/>
        </w:rPr>
        <w:t xml:space="preserve">项目》</w:t>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招标文件</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第一章  投标邀请</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u w:val="single"/>
          <w:lang w:eastAsia="zh-CN"/>
        </w:rPr>
        <w:t xml:space="preserve">江苏润沐工程管理咨询有限公司</w:t>
      </w:r>
      <w:r>
        <w:rPr>
          <w:rFonts w:hint="eastAsia" w:ascii="宋体" w:hAnsi="宋体" w:cs="宋体"/>
          <w:color w:val="auto"/>
          <w:sz w:val="30"/>
          <w:highlight w:val="none"/>
        </w:rPr>
        <w:t xml:space="preserve">对</w:t>
      </w:r>
      <w:r>
        <w:rPr>
          <w:rFonts w:hint="eastAsia" w:ascii="宋体" w:hAnsi="宋体" w:cs="宋体"/>
          <w:color w:val="auto"/>
          <w:sz w:val="30"/>
          <w:highlight w:val="none"/>
          <w:u w:val="single"/>
          <w:lang w:eastAsia="zh-CN"/>
        </w:rPr>
        <w:t xml:space="preserve">云龙区居民小区生活垃圾分类服务项目</w:t>
      </w:r>
      <w:r>
        <w:rPr>
          <w:rFonts w:hint="eastAsia" w:ascii="宋体" w:hAnsi="宋体" w:cs="宋体"/>
          <w:color w:val="auto"/>
          <w:sz w:val="30"/>
          <w:highlight w:val="none"/>
        </w:rPr>
        <w:t xml:space="preserve">项目进行公开招标采购，现邀请符合相关条件的供应商投标。</w:t>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一、项目名称和项目编号</w:t>
      </w:r>
      <w:r/>
    </w:p>
    <w:p>
      <w:pPr>
        <w:ind w:firstLine="300"/>
        <w:spacing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(一)项目名称：</w:t>
      </w:r>
      <w:r>
        <w:rPr>
          <w:rFonts w:hint="eastAsia" w:ascii="宋体" w:hAnsi="宋体" w:cs="宋体"/>
          <w:color w:val="auto"/>
          <w:sz w:val="30"/>
          <w:highlight w:val="none"/>
          <w:lang w:eastAsia="zh-CN"/>
        </w:rPr>
        <w:t xml:space="preserve">云龙区居民小区生活垃圾分类服务项目</w:t>
      </w:r>
      <w:r/>
    </w:p>
    <w:p>
      <w:pPr>
        <w:ind w:firstLine="300"/>
        <w:spacing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(二)项目编号：</w:t>
      </w:r>
      <w:r>
        <w:rPr>
          <w:rFonts w:hint="eastAsia" w:ascii="宋体" w:hAnsi="宋体" w:cs="宋体"/>
          <w:color w:val="auto"/>
          <w:sz w:val="30"/>
          <w:highlight w:val="none"/>
          <w:lang w:eastAsia="zh-CN"/>
        </w:rPr>
        <w:t xml:space="preserve">JSZC-320303-JSRM-G2025-0013</w:t>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二、对投标人的资格要求</w:t>
      </w:r>
      <w:r/>
    </w:p>
    <w:p>
      <w:pPr>
        <w:ind w:firstLine="3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详见本项目公开招标公告。</w:t>
      </w:r>
      <w:r/>
    </w:p>
    <w:p>
      <w:pPr>
        <w:ind w:firstLine="301"/>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三、获取招标文件</w:t>
      </w:r>
      <w:r/>
    </w:p>
    <w:p>
      <w:pPr>
        <w:ind w:firstLine="3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（一）潜在投标人访问电子招标投标交易平台的网络地址和方法：</w:t>
      </w:r>
      <w:r/>
    </w:p>
    <w:p>
      <w:pPr>
        <w:ind w:firstLine="3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（3）“CA数字证书”的获取：</w:t>
      </w:r>
      <w:r/>
    </w:p>
    <w:p>
      <w:pPr>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（二）采购代理机构将数据电文形式的招标文件加载至电子招标投标交易平台，供潜在投标人下载或者查阅。</w:t>
      </w:r>
      <w:r/>
    </w:p>
    <w:p>
      <w:pPr>
        <w:ind w:firstLine="3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（三）售价：免费。</w:t>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四、投标有关信息</w:t>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（一）投标截止时间：</w:t>
      </w:r>
      <w:r>
        <w:rPr>
          <w:rFonts w:hint="eastAsia" w:ascii="宋体" w:hAnsi="宋体" w:cs="宋体"/>
          <w:b/>
          <w:color w:val="auto"/>
          <w:sz w:val="30"/>
          <w:highlight w:val="none"/>
          <w:u w:val="single"/>
        </w:rPr>
        <w:t xml:space="preserve">202</w:t>
      </w:r>
      <w:r>
        <w:rPr>
          <w:rFonts w:hint="eastAsia" w:ascii="宋体" w:hAnsi="宋体" w:cs="宋体"/>
          <w:b/>
          <w:color w:val="auto"/>
          <w:sz w:val="30"/>
          <w:highlight w:val="none"/>
          <w:u w:val="single"/>
          <w:lang w:val="en-US" w:eastAsia="zh-CN"/>
        </w:rPr>
        <w:t xml:space="preserve">6</w:t>
      </w:r>
      <w:r>
        <w:rPr>
          <w:rFonts w:hint="eastAsia" w:ascii="宋体" w:hAnsi="宋体" w:cs="宋体"/>
          <w:b/>
          <w:color w:val="auto"/>
          <w:sz w:val="30"/>
          <w:highlight w:val="none"/>
        </w:rPr>
        <w:t xml:space="preserve">年</w:t>
      </w:r>
      <w:r>
        <w:rPr>
          <w:rFonts w:hint="eastAsia" w:ascii="宋体" w:hAnsi="宋体" w:cs="宋体"/>
          <w:b/>
          <w:color w:val="auto"/>
          <w:sz w:val="30"/>
          <w:highlight w:val="none"/>
          <w:u w:val="single"/>
        </w:rPr>
        <w:t xml:space="preserve">1</w:t>
      </w:r>
      <w:r>
        <w:rPr>
          <w:rFonts w:hint="eastAsia" w:ascii="宋体" w:hAnsi="宋体" w:cs="宋体"/>
          <w:b/>
          <w:color w:val="auto"/>
          <w:sz w:val="30"/>
          <w:highlight w:val="none"/>
        </w:rPr>
        <w:t xml:space="preserve">月</w:t>
      </w:r>
      <w:r>
        <w:rPr>
          <w:rFonts w:hint="eastAsia" w:ascii="宋体" w:hAnsi="宋体" w:cs="宋体"/>
          <w:b/>
          <w:color w:val="auto"/>
          <w:sz w:val="30"/>
          <w:highlight w:val="none"/>
          <w:u w:val="single"/>
          <w:lang w:val="en-US" w:eastAsia="zh-CN"/>
        </w:rPr>
        <w:t xml:space="preserve"> 26 </w:t>
      </w:r>
      <w:r>
        <w:rPr>
          <w:rFonts w:hint="eastAsia" w:ascii="宋体" w:hAnsi="宋体" w:cs="宋体"/>
          <w:b/>
          <w:color w:val="auto"/>
          <w:sz w:val="30"/>
          <w:highlight w:val="none"/>
        </w:rPr>
        <w:t xml:space="preserve">日北京时间09：30</w:t>
      </w:r>
      <w:r>
        <w:rPr>
          <w:rFonts w:hint="eastAsia" w:ascii="宋体" w:hAnsi="宋体" w:cs="宋体"/>
          <w:color w:val="auto"/>
          <w:sz w:val="30"/>
          <w:highlight w:val="none"/>
        </w:rPr>
        <w:t xml:space="preserve">。</w:t>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（二）开标时间：</w:t>
      </w:r>
      <w:r>
        <w:rPr>
          <w:rFonts w:hint="eastAsia" w:ascii="宋体" w:hAnsi="宋体" w:cs="宋体"/>
          <w:b/>
          <w:color w:val="auto"/>
          <w:sz w:val="30"/>
          <w:highlight w:val="none"/>
          <w:u w:val="single"/>
        </w:rPr>
        <w:t xml:space="preserve">202</w:t>
      </w:r>
      <w:r>
        <w:rPr>
          <w:rFonts w:hint="eastAsia" w:ascii="宋体" w:hAnsi="宋体" w:cs="宋体"/>
          <w:b/>
          <w:color w:val="auto"/>
          <w:sz w:val="30"/>
          <w:highlight w:val="none"/>
          <w:u w:val="single"/>
          <w:lang w:val="en-US" w:eastAsia="zh-CN"/>
        </w:rPr>
        <w:t xml:space="preserve">6</w:t>
      </w:r>
      <w:r>
        <w:rPr>
          <w:rFonts w:hint="eastAsia" w:ascii="宋体" w:hAnsi="宋体" w:cs="宋体"/>
          <w:b/>
          <w:color w:val="auto"/>
          <w:sz w:val="30"/>
          <w:highlight w:val="none"/>
        </w:rPr>
        <w:t xml:space="preserve">年</w:t>
      </w:r>
      <w:r>
        <w:rPr>
          <w:rFonts w:hint="eastAsia" w:ascii="宋体" w:hAnsi="宋体" w:cs="宋体"/>
          <w:b/>
          <w:color w:val="auto"/>
          <w:sz w:val="30"/>
          <w:highlight w:val="none"/>
          <w:u w:val="single"/>
        </w:rPr>
        <w:t xml:space="preserve">1</w:t>
      </w:r>
      <w:r>
        <w:rPr>
          <w:rFonts w:hint="eastAsia" w:ascii="宋体" w:hAnsi="宋体" w:cs="宋体"/>
          <w:b/>
          <w:color w:val="auto"/>
          <w:sz w:val="30"/>
          <w:highlight w:val="none"/>
        </w:rPr>
        <w:t xml:space="preserve">月</w:t>
      </w:r>
      <w:r>
        <w:rPr>
          <w:rFonts w:hint="eastAsia" w:ascii="宋体" w:hAnsi="宋体" w:cs="宋体"/>
          <w:b/>
          <w:color w:val="auto"/>
          <w:sz w:val="30"/>
          <w:highlight w:val="none"/>
          <w:u w:val="single"/>
          <w:lang w:val="en-US" w:eastAsia="zh-CN"/>
        </w:rPr>
        <w:t xml:space="preserve"> 26 </w:t>
      </w:r>
      <w:r>
        <w:rPr>
          <w:rFonts w:hint="eastAsia" w:ascii="宋体" w:hAnsi="宋体" w:cs="宋体"/>
          <w:b/>
          <w:color w:val="auto"/>
          <w:sz w:val="30"/>
          <w:highlight w:val="none"/>
        </w:rPr>
        <w:t xml:space="preserve">日北京时间09：30</w:t>
      </w:r>
      <w:r>
        <w:rPr>
          <w:rFonts w:hint="eastAsia" w:ascii="宋体" w:hAnsi="宋体" w:cs="宋体"/>
          <w:color w:val="auto"/>
          <w:sz w:val="30"/>
          <w:highlight w:val="none"/>
        </w:rPr>
        <w:t xml:space="preserve">。</w:t>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（三）开标地点：“苏采云”系统“开标大厅”或进入徐州政府采购网--业务工作--用户登录，点击“苏采云”进入系统“开标大厅”。</w:t>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五、采购人</w:t>
      </w:r>
      <w:r/>
    </w:p>
    <w:p>
      <w:pPr>
        <w:ind w:firstLine="300"/>
        <w:spacing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（一）名称：</w:t>
      </w:r>
      <w:r>
        <w:rPr>
          <w:rFonts w:hint="eastAsia" w:ascii="宋体" w:hAnsi="宋体" w:cs="宋体"/>
          <w:color w:val="auto"/>
          <w:sz w:val="30"/>
          <w:highlight w:val="none"/>
          <w:lang w:eastAsia="zh-CN"/>
        </w:rPr>
        <w:t xml:space="preserve">徐州市云龙区城市管理局</w:t>
      </w:r>
      <w:r/>
    </w:p>
    <w:p>
      <w:pPr>
        <w:ind w:firstLine="300"/>
        <w:spacing w:line="519" w:lineRule="atLeast"/>
        <w:rPr>
          <w:rFonts w:hint="eastAsia" w:ascii="宋体" w:hAnsi="宋体" w:eastAsia="宋体" w:cs="宋体"/>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（二）地址：</w:t>
      </w:r>
      <w:r>
        <w:rPr>
          <w:rFonts w:hint="eastAsia" w:ascii="宋体" w:hAnsi="宋体" w:cs="宋体"/>
          <w:color w:val="auto"/>
          <w:sz w:val="30"/>
          <w:highlight w:val="none"/>
          <w:lang w:eastAsia="zh-CN"/>
        </w:rPr>
        <w:t xml:space="preserve">徐州市云龙区淮海文博园18号楼三楼</w:t>
      </w:r>
      <w:r/>
    </w:p>
    <w:p>
      <w:pPr>
        <w:ind w:firstLine="3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（三）采购项目联系人：</w:t>
      </w:r>
      <w:r>
        <w:rPr>
          <w:rFonts w:hint="eastAsia" w:ascii="宋体" w:hAnsi="宋体" w:cs="宋体"/>
          <w:color w:val="auto"/>
          <w:sz w:val="30"/>
          <w:highlight w:val="none"/>
          <w:lang w:val="en-US" w:eastAsia="zh-CN"/>
        </w:rPr>
        <w:t xml:space="preserve">董稳</w:t>
      </w:r>
      <w:r/>
    </w:p>
    <w:p>
      <w:pPr>
        <w:ind w:firstLine="3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（四）联系电话：</w:t>
      </w:r>
      <w:r>
        <w:rPr>
          <w:rFonts w:hint="eastAsia" w:ascii="宋体" w:hAnsi="宋体" w:cs="宋体"/>
          <w:color w:val="auto"/>
          <w:sz w:val="30"/>
          <w:highlight w:val="none"/>
          <w:lang w:val="en-US" w:eastAsia="zh-CN"/>
        </w:rPr>
        <w:t xml:space="preserve">19707899268</w:t>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六、采购代理机构</w:t>
      </w:r>
      <w:r/>
    </w:p>
    <w:p>
      <w:pPr>
        <w:ind w:firstLine="300"/>
        <w:spacing w:line="51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（一）名称：</w:t>
      </w:r>
      <w:r>
        <w:rPr>
          <w:rFonts w:hint="eastAsia" w:ascii="宋体" w:hAnsi="宋体" w:cs="宋体"/>
          <w:color w:val="auto"/>
          <w:sz w:val="30"/>
          <w:highlight w:val="none"/>
          <w:lang w:eastAsia="zh-CN"/>
        </w:rPr>
        <w:t xml:space="preserve">江苏润沐工程管理咨询有限公司</w:t>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（二）地址：</w:t>
      </w:r>
      <w:r>
        <w:rPr>
          <w:rFonts w:hint="eastAsia" w:ascii="宋体" w:hAnsi="宋体" w:cs="宋体"/>
          <w:color w:val="auto"/>
          <w:sz w:val="30"/>
          <w:highlight w:val="none"/>
          <w:lang w:eastAsia="zh-CN"/>
        </w:rPr>
        <w:t xml:space="preserve">徐州市云龙区和平路64号帝都大厦405室</w:t>
      </w:r>
      <w:r/>
    </w:p>
    <w:p>
      <w:pPr>
        <w:ind w:firstLine="300"/>
        <w:spacing w:line="519" w:lineRule="atLeast"/>
        <w:rPr>
          <w:rFonts w:hint="default" w:ascii="宋体" w:hAnsi="宋体" w:cs="宋体"/>
          <w:color w:val="auto"/>
          <w:sz w:val="30"/>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（三）采购项目联系人：</w:t>
      </w:r>
      <w:r>
        <w:rPr>
          <w:rFonts w:hint="eastAsia" w:ascii="宋体" w:hAnsi="宋体" w:cs="宋体"/>
          <w:color w:val="auto"/>
          <w:sz w:val="30"/>
          <w:highlight w:val="none"/>
          <w:lang w:val="en-US" w:eastAsia="zh-CN"/>
        </w:rPr>
        <w:t xml:space="preserve">尹素琴</w:t>
      </w:r>
      <w:r/>
    </w:p>
    <w:p>
      <w:pPr>
        <w:ind w:firstLine="3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（四）联系方式：</w:t>
      </w:r>
      <w:r>
        <w:rPr>
          <w:rFonts w:hint="eastAsia" w:ascii="宋体" w:hAnsi="宋体" w:cs="宋体"/>
          <w:color w:val="auto"/>
          <w:sz w:val="30"/>
          <w:highlight w:val="none"/>
          <w:lang w:eastAsia="zh-CN"/>
        </w:rPr>
        <w:t xml:space="preserve">0516-83820866</w:t>
      </w:r>
      <w:r/>
    </w:p>
    <w:p>
      <w:pPr>
        <w:jc w:val="center"/>
        <w:spacing w:line="720"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ascii="宋体" w:hAnsi="宋体" w:cs="宋体"/>
          <w:b/>
          <w:color w:val="auto"/>
          <w:sz w:val="30"/>
          <w:highlight w:val="none"/>
        </w:rPr>
      </w:r>
      <w:r/>
    </w:p>
    <w:p>
      <w:pPr>
        <w:jc w:val="center"/>
        <w:spacing w:line="72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0"/>
          <w:highlight w:val="none"/>
        </w:rPr>
        <w:t xml:space="preserve">第二章 投标人须知</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一、总则</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（一）采购人。采购人即指依法进行政府采购的国家机关、事业单位和团体组织。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（六）投标人的资格条件：</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投标人是指响应招标、参加投标竞争的法人、其他组织或者自然人。</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2.投标人授权代表系指法定代表人或受法人委托的受托人。</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二、招标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（八）招标文件应包括以下内容：</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第一章，投标邀请；</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第二章，投标人须知；</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第三章，投标资料表；</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第四章，评标标准；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第五章，拟签订的合同文本；</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第六章，采购需求；</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第七章，投标文件相关格式。</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（九）招标文件澄清或者修改：</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2.现场考察以本文件第三章《投标资料表》中的要求为准。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3.开标前答疑会以本文件第三章《投标资料表》中的要求为准。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三、投标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（十二）投标文件的构成：</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1.投标文件的构成以本文件第三章《投标资料表》中的要求为准。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2.投标人应当提交的资格、资信证明文件，以本文件第三章《投标资料表》中的所提要求为准。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（十三）投标函和价格表、商务条件、交货和提供服务的时间：</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1.投标函和价格表的要求见本章（十二）、（十三），格式见本文件第七章《投标文件相关格式》中《投标函》。</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2.商务条件以本文件第三章《投标资料表》中的要求为准。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3.交货和提供服务的时间，以本文件第三章《投标资料表》中所提要求为准。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（十四）投标报价要求：</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1.投标人应按照招标文件的要求报出分项价格和总价。</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2.投标人应按照招标文件的要求进行报价，如投标人作出偏离，应在《偏离表》中列出。</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3.采购人不支付报价以外的任何费用。</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（十五）投标货币。以本文件第三章《投标资料表》中所提要求为准。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（十六）投标有效期：</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（十七）投标文件的编制要求和签署要求：</w:t>
      </w:r>
      <w:r/>
    </w:p>
    <w:p>
      <w:pPr>
        <w:ind w:firstLine="482"/>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（2）投标人应对 CA 证书妥善保管，如被他人盗用投标，因此带来的结果均由投标人自行承担。</w:t>
      </w:r>
      <w:r/>
    </w:p>
    <w:p>
      <w:pPr>
        <w:ind w:firstLine="482"/>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（3）投标人应当对招标文件提出的要求和条件作出实质性响应，并在电子投标系统逐条应答。</w:t>
      </w:r>
      <w:r/>
    </w:p>
    <w:p>
      <w:pPr>
        <w:ind w:firstLine="482"/>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（十八）投标文件的盖章要求</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1.投标文件的盖章要求以招标文件第三章《投标资料表》中的要求为准。</w:t>
      </w:r>
      <w:r/>
    </w:p>
    <w:p>
      <w:pPr>
        <w:ind w:firstLine="6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（二十二）本项目不允许分包。</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（二十四）有下列情形之一的，其投标无效。</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1.不同投标人的投标文件，由同一单位或者个人编制；</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2.不同投标人委托同一单位或者个人办理投标事宜；</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4.不同投标人的投标文件，异常一致或者投标报价呈规律性差异；</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5.不同投标人的投标文件相互混装；</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7.电子投标文件未按规定期限投标的；</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8.电子投标文件未按招标文件要求签章的；</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9.投标人未在规定时间内解密电子投标文件的；</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11.纸质投标文件未按招标文件要求签署、盖章的；</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12.不具备招标文件中规定的资格要求的；</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13.报价超过招标文件中规定的预算金额或者最高限价的；</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14.投标文件含有采购人不能接受的附加条件的；</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15.法律、法规和招标文件规定的其他无效情形。</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四、开标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（二十五）开标：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2.投标人不足3家的，不得开标。</w:t>
      </w:r>
      <w:r/>
    </w:p>
    <w:p>
      <w:pPr>
        <w:ind w:firstLine="6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3.开标过程由采购代理机构负责记录。</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5.投标人未参加开标的，视同认可开标结果。</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五、评标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1.评标工作由采购代理机构负责组织，并履行下列职责：</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（2）宣布评标纪律；</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（3）公布投标人名单，告知评审专家应当回避的情形；</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（4）组织评标委员会推选评标组长（采购人代表不得担任组长）；</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（5）在评标期间采取必要的通讯管理措施，保证评标活动不受外界干扰；</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（6）根据评标委员会的要求介绍政府采购相关政策法规、招标文件；</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（8）核对评标结果，对有《</w:t>
      </w:r>
      <w:r>
        <w:rPr>
          <w:rFonts w:hint="eastAsia"/>
          <w:color w:val="auto"/>
          <w:highlight w:val="none"/>
        </w:rPr>
        <w:fldChar w:fldCharType="begin"/>
      </w:r>
      <w:r>
        <w:rPr>
          <w:color w:val="auto"/>
          <w:highlight w:val="none"/>
        </w:rPr>
        <w:instrText xml:space="preserve"> HYPERLINK "http://www.caigou2003.com/" \o "http://www.caigou2003.com/" </w:instrText>
      </w:r>
      <w:r>
        <w:rPr>
          <w:rFonts w:hint="eastAsia"/>
          <w:color w:val="auto"/>
          <w:highlight w:val="none"/>
        </w:rPr>
        <w:fldChar w:fldCharType="separate"/>
      </w:r>
      <w:r>
        <w:rPr>
          <w:rStyle w:val="907"/>
          <w:rFonts w:hint="eastAsia" w:ascii="宋体" w:hAnsi="宋体" w:cs="宋体"/>
          <w:color w:val="auto"/>
          <w:sz w:val="30"/>
          <w:highlight w:val="none"/>
          <w:u w:val="none"/>
        </w:rPr>
        <w:t xml:space="preserve">政府采购</w:t>
      </w:r>
      <w:r>
        <w:rPr>
          <w:rStyle w:val="907"/>
          <w:rFonts w:hint="eastAsia" w:ascii="宋体" w:hAnsi="宋体" w:cs="宋体"/>
          <w:color w:val="auto"/>
          <w:sz w:val="30"/>
          <w:highlight w:val="none"/>
          <w:u w:val="none"/>
        </w:rPr>
        <w:fldChar w:fldCharType="end"/>
      </w:r>
      <w:r>
        <w:rPr>
          <w:rFonts w:hint="eastAsia" w:ascii="宋体" w:hAnsi="宋体" w:cs="宋体"/>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（10）处理与评标有关的其他事项。</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2.评标委员会负责具体评标事务，并独立履行下列职责：</w:t>
      </w:r>
      <w:r/>
    </w:p>
    <w:p>
      <w:pPr>
        <w:ind w:firstLine="45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（1）审查、评价投标文件是否符合招标文件的商务、技术等实质性要求；</w:t>
      </w:r>
      <w:r/>
    </w:p>
    <w:p>
      <w:pPr>
        <w:ind w:firstLine="45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（2）要求投标人对投标文件有关事项作出澄清或者说明；</w:t>
      </w:r>
      <w:r/>
    </w:p>
    <w:p>
      <w:pPr>
        <w:ind w:firstLine="45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（3）对投标文件进行比较和评价；</w:t>
      </w:r>
      <w:r/>
    </w:p>
    <w:p>
      <w:pPr>
        <w:ind w:firstLine="45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（4）确定中标候选人名单，以及根据采购人委托直接确定中标人；</w:t>
      </w:r>
      <w:r/>
    </w:p>
    <w:p>
      <w:pPr>
        <w:ind w:firstLine="45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（5）向采购人、采购代理机构或有关部门报告评标中发现的违法行为。</w:t>
      </w:r>
      <w:r/>
    </w:p>
    <w:p>
      <w:pPr>
        <w:ind w:firstLine="45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（二十七）评标方法分为最低评标价法和综合评分法。</w:t>
      </w:r>
      <w:r/>
    </w:p>
    <w:p>
      <w:pPr>
        <w:ind w:firstLine="45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（二十八）评标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1.评标工作程序：</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（1）投标文件初审。</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①资格性审查。</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②符合性审查。</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（2）澄清有关问题。</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（3）比较与评价。</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（4）推荐中标候选供应商名单。</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（5）编写评审报告（评标报告）。</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3.采用</w:t>
      </w:r>
      <w:r>
        <w:rPr>
          <w:rFonts w:hint="eastAsia"/>
          <w:color w:val="auto"/>
          <w:highlight w:val="none"/>
        </w:rPr>
        <w:fldChar w:fldCharType="begin"/>
      </w:r>
      <w:r>
        <w:rPr>
          <w:color w:val="auto"/>
          <w:highlight w:val="none"/>
        </w:rPr>
        <w:instrText xml:space="preserve"> HYPERLINK "http://lilun.caigou2003.com/recijiedu/2365668.html" \o "http://lilun.caigou2003.com/recijiedu/2365668.html" </w:instrText>
      </w:r>
      <w:r>
        <w:rPr>
          <w:rFonts w:hint="eastAsia"/>
          <w:color w:val="auto"/>
          <w:highlight w:val="none"/>
        </w:rPr>
        <w:fldChar w:fldCharType="separate"/>
      </w:r>
      <w:r>
        <w:rPr>
          <w:rStyle w:val="907"/>
          <w:rFonts w:hint="eastAsia" w:ascii="宋体" w:hAnsi="宋体" w:cs="宋体"/>
          <w:color w:val="auto"/>
          <w:sz w:val="30"/>
          <w:highlight w:val="none"/>
          <w:u w:val="none"/>
        </w:rPr>
        <w:t xml:space="preserve">最低评标价法</w:t>
      </w:r>
      <w:r>
        <w:rPr>
          <w:rStyle w:val="907"/>
          <w:rFonts w:hint="eastAsia" w:ascii="宋体" w:hAnsi="宋体" w:cs="宋体"/>
          <w:color w:val="auto"/>
          <w:sz w:val="30"/>
          <w:highlight w:val="none"/>
          <w:u w:val="none"/>
        </w:rPr>
        <w:fldChar w:fldCharType="end"/>
      </w:r>
      <w:r>
        <w:rPr>
          <w:rFonts w:hint="eastAsia" w:ascii="宋体" w:hAnsi="宋体" w:cs="宋体"/>
          <w:color w:val="auto"/>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907"/>
          <w:rFonts w:hint="eastAsia" w:ascii="宋体" w:hAnsi="宋体" w:cs="宋体"/>
          <w:color w:val="auto"/>
          <w:sz w:val="30"/>
          <w:highlight w:val="none"/>
          <w:u w:val="none"/>
        </w:rPr>
        <w:t xml:space="preserve">综合评分法</w:t>
      </w:r>
      <w:r>
        <w:rPr>
          <w:rStyle w:val="907"/>
          <w:rFonts w:hint="eastAsia" w:ascii="宋体" w:hAnsi="宋体" w:cs="宋体"/>
          <w:color w:val="auto"/>
          <w:sz w:val="30"/>
          <w:highlight w:val="none"/>
          <w:u w:val="none"/>
        </w:rPr>
        <w:fldChar w:fldCharType="end"/>
      </w:r>
      <w:r>
        <w:rPr>
          <w:rFonts w:hint="eastAsia" w:ascii="宋体" w:hAnsi="宋体" w:cs="宋体"/>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非单一产品采购项目，多家投标人提供的核心产品品牌相同的，按前两款规定处理。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（二十九）投标文件报价出现前后不一致的，按照下列规定修正：</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2.大写金额和小写金额不一致的，以大写金额为准；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3.单价金额小数点或者百分比有明显错位的，以开标一览表的总价为准，并修改单价；</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4.总价金额与按单价合计金额不一致的，以单价金额计算结果为准。</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十）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实施政府采购异常低价审查的有关要求：</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一）评审过程中出现下列情形之一的，评审委员会应当启动异常低价投标（响应）审查程序：</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1．投标（响应）报价低于采购项目预算50%的，即投标（响应）报价＜采购项目预算×50%；</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2．投标（响应）报价低于采购项目最高限价45％的，即投标（响应）报价＜采购项目最高限价×45%；</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3．评审委员会认定的供应商报价过低、有可能影响产品质量或者不能诚信履约的其他情形。</w:t>
      </w:r>
      <w:r/>
    </w:p>
    <w:p>
      <w:pPr>
        <w:ind w:firstLine="600"/>
        <w:spacing w:line="51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二）启动异常低价投标（响应）审查后，</w:t>
      </w:r>
      <w:bookmarkStart w:id="0" w:name="OLE_LINK5"/>
      <w:r/>
      <w:bookmarkStart w:id="1" w:name="OLE_LINK6"/>
      <w:r>
        <w:rPr>
          <w:rFonts w:hint="eastAsia" w:ascii="宋体" w:hAnsi="宋体" w:cs="宋体"/>
          <w:color w:val="auto"/>
          <w:sz w:val="30"/>
          <w:highlight w:val="none"/>
        </w:rPr>
        <w:t xml:space="preserve">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0"/>
      <w:r/>
      <w:bookmarkEnd w:id="1"/>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（三十二）废标条款：</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出现下列情形之一的，应予废标。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1.符合专业条件的供应商或者对招标文件作实质响应的供应商不足三家的；</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2.出现影响采购公正的违法、违规行为的；</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3.投标人的报价均超过了采购预算，采购人不能支付的；</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4.因重大变故，采购任务取消的。</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六、定标</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（三十三）采购代理机构应当在评标结束后2个工作日内将评标报告送采购人。</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七、政府采购合同</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（三十六）签订政府采购合同（合同签订方式）：</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采购人不得向中标人提出任何不合理的要求作为签订合同的条件。</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（三十八）履约保证金：详见《第三章 投标资料表》。</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（三十九）腐败和欺诈行为：</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（1）腐败和欺诈行为的含义：</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（2）如果被推荐的中标人有腐败和欺诈行为，将取消其中标资格。</w:t>
      </w:r>
      <w:r/>
    </w:p>
    <w:p>
      <w:pPr>
        <w:ind w:firstLine="600"/>
        <w:spacing w:line="519" w:lineRule="atLeast"/>
        <w:shd w:val="clear" w:color="ffffff" w:fill="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八、询问和质疑</w:t>
      </w:r>
      <w:r/>
    </w:p>
    <w:p>
      <w:pPr>
        <w:ind w:firstLine="600"/>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（四十）询问和质疑</w:t>
      </w:r>
      <w:r/>
    </w:p>
    <w:p>
      <w:pPr>
        <w:ind w:firstLine="600"/>
        <w:spacing w:line="519"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30"/>
          <w:highlight w:val="none"/>
        </w:rPr>
        <w:t xml:space="preserve"> </w:t>
      </w:r>
      <w:r/>
    </w:p>
    <w:p>
      <w:pPr>
        <w:ind w:firstLine="6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九、电子招标投标交易平台</w:t>
      </w:r>
      <w:r/>
    </w:p>
    <w:p>
      <w:pPr>
        <w:ind w:firstLine="600"/>
        <w:jc w:val="left"/>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p>
      <w:pPr>
        <w:jc w:val="cente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highlight w:val="none"/>
        </w:rPr>
        <w:br w:type="page" w:clear="all"/>
      </w:r>
      <w:r>
        <w:rPr>
          <w:rFonts w:hint="eastAsia" w:ascii="宋体" w:hAnsi="宋体" w:cs="宋体"/>
          <w:b/>
          <w:color w:val="auto"/>
          <w:sz w:val="30"/>
          <w:highlight w:val="none"/>
        </w:rPr>
        <w:t xml:space="preserve">第三章 投标资料表</w:t>
      </w:r>
      <w:r/>
    </w:p>
    <w:p>
      <w:pPr>
        <w:ind w:firstLine="600"/>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05"/>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条款项号</w:t>
            </w:r>
            <w:r/>
          </w:p>
        </w:tc>
        <w:tc>
          <w:tcPr>
            <w:tcMar>
              <w:left w:w="108" w:type="dxa"/>
              <w:top w:w="0" w:type="dxa"/>
              <w:right w:w="108" w:type="dxa"/>
              <w:bottom w:w="0" w:type="dxa"/>
            </w:tcMar>
            <w:tcW w:w="8313"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内 容</w:t>
            </w:r>
            <w:r/>
          </w:p>
        </w:tc>
      </w:tr>
      <w:tr>
        <w:trPr>
          <w:jc w:val="center"/>
        </w:trPr>
        <w:tc>
          <w:tcPr>
            <w:tcMar>
              <w:left w:w="108" w:type="dxa"/>
              <w:top w:w="0" w:type="dxa"/>
              <w:right w:w="108" w:type="dxa"/>
              <w:bottom w:w="0" w:type="dxa"/>
            </w:tcMar>
            <w:tcW w:w="1471" w:type="dxa"/>
            <w:vAlign w:val="center"/>
            <w:textDirection w:val="lrTb"/>
            <w:noWrap w:val="false"/>
          </w:tcPr>
          <w:p>
            <w:pPr>
              <w:jc w:val="center"/>
              <w:keepLines w:val="0"/>
              <w:keepNext w:val="0"/>
              <w:pageBreakBefore w:val="0"/>
              <w:spacing w:after="0" w:line="279"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总则</w:t>
            </w:r>
            <w:r/>
          </w:p>
        </w:tc>
      </w:tr>
      <w:tr>
        <w:trPr>
          <w:jc w:val="center"/>
        </w:trPr>
        <w:tc>
          <w:tcPr>
            <w:tcMar>
              <w:left w:w="108" w:type="dxa"/>
              <w:top w:w="0" w:type="dxa"/>
              <w:right w:w="108" w:type="dxa"/>
              <w:bottom w:w="0" w:type="dxa"/>
            </w:tcMar>
            <w:tcW w:w="1471" w:type="dxa"/>
            <w:vAlign w:val="center"/>
            <w:textDirection w:val="lrTb"/>
            <w:noWrap w:val="false"/>
          </w:tcPr>
          <w:p>
            <w:pPr>
              <w:jc w:val="center"/>
              <w:keepLines w:val="0"/>
              <w:keepNext w:val="0"/>
              <w:pageBreakBefore w:val="0"/>
              <w:spacing w:after="0" w:line="279"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徐州市云龙区城市管理局</w:t>
            </w:r>
            <w:r/>
          </w:p>
        </w:tc>
      </w:tr>
      <w:tr>
        <w:trPr>
          <w:jc w:val="center"/>
        </w:trPr>
        <w:tc>
          <w:tcPr>
            <w:tcMar>
              <w:left w:w="108" w:type="dxa"/>
              <w:top w:w="0" w:type="dxa"/>
              <w:right w:w="108" w:type="dxa"/>
              <w:bottom w:w="0" w:type="dxa"/>
            </w:tcMar>
            <w:tcW w:w="1471" w:type="dxa"/>
            <w:vAlign w:val="center"/>
            <w:textDirection w:val="lrTb"/>
            <w:noWrap w:val="false"/>
          </w:tcPr>
          <w:p>
            <w:pPr>
              <w:jc w:val="center"/>
              <w:keepLines w:val="0"/>
              <w:keepNext w:val="0"/>
              <w:pageBreakBefore w:val="0"/>
              <w:spacing w:after="0" w:line="279"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center"/>
            <w:textDirection w:val="lrTb"/>
            <w:noWrap w:val="false"/>
          </w:tcPr>
          <w:p>
            <w:pPr>
              <w:jc w:val="center"/>
              <w:keepLines w:val="0"/>
              <w:keepNext w:val="0"/>
              <w:pageBreakBefore w:val="0"/>
              <w:spacing w:after="0" w:line="279" w:lineRule="auto"/>
              <w:widowControl w:val="off"/>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宋体" w:hAnsi="宋体" w:eastAsia="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采购人确定的采购项目属性：</w:t>
            </w:r>
            <w:r>
              <w:rPr>
                <w:rFonts w:hint="eastAsia" w:ascii="宋体" w:hAnsi="宋体" w:cs="宋体"/>
                <w:b/>
                <w:bCs/>
                <w:color w:val="auto"/>
                <w:sz w:val="28"/>
                <w:szCs w:val="28"/>
                <w:highlight w:val="none"/>
                <w:lang w:val="en-US" w:eastAsia="zh-CN"/>
              </w:rPr>
              <w:t xml:space="preserve">服务</w:t>
            </w:r>
            <w:r/>
          </w:p>
        </w:tc>
      </w:tr>
      <w:tr>
        <w:trPr>
          <w:jc w:val="center"/>
        </w:trPr>
        <w:tc>
          <w:tcPr>
            <w:tcMar>
              <w:left w:w="108" w:type="dxa"/>
              <w:top w:w="0" w:type="dxa"/>
              <w:right w:w="108" w:type="dxa"/>
              <w:bottom w:w="0" w:type="dxa"/>
            </w:tcMar>
            <w:tcW w:w="1471" w:type="dxa"/>
            <w:vAlign w:val="center"/>
            <w:textDirection w:val="lrTb"/>
            <w:noWrap w:val="false"/>
          </w:tcPr>
          <w:p>
            <w:pPr>
              <w:jc w:val="center"/>
              <w:keepLines w:val="0"/>
              <w:keepNext w:val="0"/>
              <w:pageBreakBefore w:val="0"/>
              <w:spacing w:after="0" w:line="279" w:lineRule="auto"/>
              <w:widowControl w:val="off"/>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本项目采购代理机构：</w:t>
            </w:r>
            <w:r>
              <w:rPr>
                <w:rFonts w:hint="eastAsia" w:ascii="宋体" w:hAnsi="宋体" w:cs="宋体"/>
                <w:color w:val="auto"/>
                <w:sz w:val="28"/>
                <w:szCs w:val="28"/>
                <w:highlight w:val="none"/>
                <w:lang w:eastAsia="zh-CN"/>
              </w:rPr>
              <w:t xml:space="preserve">江苏润沐工程管理咨询有限公司</w:t>
            </w:r>
            <w:r/>
          </w:p>
        </w:tc>
      </w:tr>
      <w:tr>
        <w:trPr>
          <w:jc w:val="center"/>
          <w:trHeight w:val="529"/>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(六)</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投标人的资格条件：</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一、符合《中华人民共和国政府采购法》第二十二条的规定；</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w:t>
            </w:r>
            <w:r>
              <w:rPr>
                <w:rFonts w:hint="eastAsia" w:ascii="宋体" w:hAnsi="宋体" w:cs="宋体"/>
                <w:b/>
                <w:color w:val="auto"/>
                <w:sz w:val="28"/>
                <w:szCs w:val="28"/>
                <w:highlight w:val="none"/>
                <w:lang w:val="en-US" w:eastAsia="zh-CN"/>
              </w:rPr>
              <w:t xml:space="preserve">本项目不属于专门面向中小企业采购的项目</w:t>
            </w:r>
            <w:r>
              <w:rPr>
                <w:rFonts w:hint="eastAsia" w:ascii="宋体" w:hAnsi="宋体" w:cs="宋体"/>
                <w:b/>
                <w:color w:val="auto"/>
                <w:sz w:val="28"/>
                <w:szCs w:val="28"/>
                <w:highlight w:val="none"/>
              </w:rPr>
              <w:t xml:space="preserve">。</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同时明确相关事项如下：</w:t>
            </w:r>
            <w:r/>
          </w:p>
          <w:p>
            <w:pPr>
              <w:ind w:firstLine="28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1、本项目接受联合体参与采购活动</w:t>
            </w:r>
            <w:r>
              <w:rPr>
                <w:rFonts w:hint="eastAsia" w:ascii="宋体" w:hAnsi="宋体" w:cs="宋体"/>
                <w:color w:val="auto"/>
                <w:sz w:val="28"/>
                <w:szCs w:val="28"/>
                <w:highlight w:val="none"/>
                <w:lang w:eastAsia="zh-CN"/>
              </w:rPr>
              <w:t xml:space="preserve">，联合体所有成员数量不得超过2家。</w:t>
            </w:r>
            <w:r>
              <w:rPr>
                <w:rFonts w:hint="eastAsia" w:ascii="宋体" w:hAnsi="宋体" w:cs="宋体"/>
                <w:color w:val="auto"/>
                <w:sz w:val="28"/>
                <w:szCs w:val="28"/>
                <w:highlight w:val="none"/>
                <w:lang w:val="en-US" w:eastAsia="zh-CN"/>
              </w:rPr>
              <w:t xml:space="preserve">采用联合体投标的，联合体各方</w:t>
            </w:r>
            <w:r>
              <w:rPr>
                <w:rFonts w:hint="eastAsia" w:ascii="宋体" w:hAnsi="宋体" w:cs="宋体"/>
                <w:color w:val="auto"/>
                <w:sz w:val="28"/>
                <w:szCs w:val="28"/>
                <w:highlight w:val="none"/>
                <w:lang w:eastAsia="zh-CN"/>
              </w:rPr>
              <w:t xml:space="preserve">应满足招标文件</w:t>
            </w:r>
            <w:r>
              <w:rPr>
                <w:rFonts w:hint="eastAsia" w:ascii="宋体" w:hAnsi="宋体" w:cs="宋体"/>
                <w:color w:val="auto"/>
                <w:sz w:val="28"/>
                <w:szCs w:val="28"/>
                <w:highlight w:val="none"/>
                <w:lang w:val="en-US" w:eastAsia="zh-CN"/>
              </w:rPr>
              <w:t xml:space="preserve">规定的资格条件</w:t>
            </w:r>
            <w:r>
              <w:rPr>
                <w:rFonts w:hint="eastAsia" w:ascii="宋体" w:hAnsi="宋体" w:cs="宋体"/>
                <w:color w:val="auto"/>
                <w:sz w:val="28"/>
                <w:szCs w:val="28"/>
                <w:highlight w:val="none"/>
              </w:rPr>
              <w:t xml:space="preserve">。</w:t>
            </w:r>
            <w:r/>
          </w:p>
          <w:p>
            <w:pPr>
              <w:ind w:firstLine="28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2、单位负责人为同一人或者存在直接控股、管理关系的不同供应商，不得参加同一合同项下的政府采购活动。</w:t>
            </w:r>
            <w:r/>
          </w:p>
          <w:p>
            <w:pPr>
              <w:ind w:firstLine="28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3、为本采购项目提供整体设计、规范编制或者项目管理、监理、检测等服务的供应商，不得再参加本采购项目的采购活动。</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三、查询及使用供应商信用记录：</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(一)由采购人查询信用信息。</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(二)查询渠道包括：</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1、“信用中国”网（www.creditchina.gov.cn）；</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2、中国政府采购网（www.ccgp.gov.cn）；</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3、“信用江苏”网（http://credit.jiangsu.gov.cn/）；</w:t>
            </w:r>
            <w:r/>
          </w:p>
          <w:p>
            <w:pPr>
              <w:ind w:firstLine="280"/>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4、“信用中国(江苏徐州)”网（http://www.xuzhoucredit.gov.cn）；</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(三)截止时点（查询环节）：开标后资格审查结束前。</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(四)信用信息查询记录和证据留存的具体方式：网页截屏打印，与其他采购文件一并保存。</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(五)信用信息的使用规则：</w:t>
            </w:r>
            <w:r/>
          </w:p>
          <w:p>
            <w:pPr>
              <w:ind w:firstLine="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w:t>
            </w:r>
            <w:r/>
          </w:p>
        </w:tc>
      </w:tr>
      <w:tr>
        <w:trPr>
          <w:jc w:val="center"/>
          <w:trHeight w:val="1786"/>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(九)1</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投标人自行现场勘察。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(十)3</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(十一)</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(十二)1</w:t>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(十二)2</w:t>
            </w:r>
            <w:r/>
          </w:p>
        </w:tc>
        <w:tc>
          <w:tcPr>
            <w:tcMar>
              <w:left w:w="108" w:type="dxa"/>
              <w:top w:w="0" w:type="dxa"/>
              <w:right w:w="108" w:type="dxa"/>
              <w:bottom w:w="0" w:type="dxa"/>
            </w:tcMar>
            <w:tcW w:w="8313" w:type="dxa"/>
            <w:textDirection w:val="lrTb"/>
            <w:noWrap w:val="false"/>
          </w:tcPr>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线上投标文件编制要求：</w:t>
            </w:r>
            <w:r/>
          </w:p>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请按照以下要求（包括但不限于以下要求）制作：</w:t>
            </w:r>
            <w:r/>
          </w:p>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一、基本目录</w:t>
            </w:r>
            <w:r/>
          </w:p>
          <w:p>
            <w:pPr>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1、《开标一览表》（加盖电子签章，政府采购客户端工具输入报价自动生成）。</w:t>
            </w:r>
            <w:r/>
          </w:p>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二、资格条件（必须提供，否则投标将被拒绝）</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(一)投标人合法有效的营业执照扫描件，或事业单位法人证书扫描件，或民办非企业单位登记证书扫描件；</w:t>
            </w:r>
            <w:r>
              <w:rPr>
                <w:rFonts w:hint="eastAsia" w:ascii="宋体" w:hAnsi="宋体" w:cs="宋体"/>
                <w:b/>
                <w:bCs/>
                <w:color w:val="auto"/>
                <w:sz w:val="28"/>
                <w:szCs w:val="28"/>
                <w:highlight w:val="none"/>
                <w:lang w:val="en-US" w:eastAsia="zh-CN"/>
              </w:rPr>
              <w:t xml:space="preserve">（如为联合体投标，联合体各方成员均需提供满足）；</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(二)财务状况报告（即提供投标人的本项目开标时间前6个月内任何时间的</w:t>
            </w:r>
            <w:r>
              <w:rPr>
                <w:rFonts w:hint="eastAsia" w:ascii="宋体" w:hAnsi="宋体" w:cs="宋体"/>
                <w:b/>
                <w:color w:val="auto"/>
                <w:sz w:val="28"/>
                <w:szCs w:val="28"/>
                <w:highlight w:val="none"/>
              </w:rPr>
              <w:t xml:space="preserve">资产负债表、利润表扫描件各一份</w:t>
            </w:r>
            <w:r>
              <w:rPr>
                <w:rFonts w:hint="eastAsia" w:ascii="宋体" w:hAnsi="宋体" w:cs="宋体"/>
                <w:color w:val="auto"/>
                <w:sz w:val="28"/>
                <w:szCs w:val="28"/>
                <w:highlight w:val="none"/>
              </w:rPr>
              <w:t xml:space="preserve">；或提供投标人</w:t>
            </w:r>
            <w:r>
              <w:rPr>
                <w:rFonts w:hint="eastAsia" w:ascii="宋体" w:hAnsi="宋体" w:cs="宋体"/>
                <w:b/>
                <w:color w:val="auto"/>
                <w:sz w:val="28"/>
                <w:szCs w:val="28"/>
                <w:highlight w:val="none"/>
              </w:rPr>
              <w:t xml:space="preserve">2024年度经审计的财务报告扫描件</w:t>
            </w:r>
            <w:r>
              <w:rPr>
                <w:rFonts w:hint="eastAsia" w:ascii="宋体" w:hAnsi="宋体" w:cs="宋体"/>
                <w:color w:val="auto"/>
                <w:sz w:val="28"/>
                <w:szCs w:val="28"/>
                <w:highlight w:val="none"/>
              </w:rPr>
              <w:t xml:space="preserve">一份；或投标人的本项目开标时间前6个月内银行出具的</w:t>
            </w:r>
            <w:r>
              <w:rPr>
                <w:rFonts w:hint="eastAsia" w:ascii="宋体" w:hAnsi="宋体" w:cs="宋体"/>
                <w:b/>
                <w:color w:val="auto"/>
                <w:sz w:val="28"/>
                <w:szCs w:val="28"/>
                <w:highlight w:val="none"/>
              </w:rPr>
              <w:t xml:space="preserve">资信证明扫描件</w:t>
            </w:r>
            <w:r>
              <w:rPr>
                <w:rFonts w:hint="eastAsia" w:ascii="宋体" w:hAnsi="宋体" w:cs="宋体"/>
                <w:color w:val="auto"/>
                <w:sz w:val="28"/>
                <w:szCs w:val="28"/>
                <w:highlight w:val="none"/>
              </w:rPr>
              <w:t xml:space="preserve">一份）；</w:t>
            </w:r>
            <w:r>
              <w:rPr>
                <w:rFonts w:hint="eastAsia" w:ascii="宋体" w:hAnsi="宋体" w:cs="宋体"/>
                <w:b/>
                <w:bCs/>
                <w:color w:val="auto"/>
                <w:sz w:val="28"/>
                <w:szCs w:val="28"/>
                <w:highlight w:val="none"/>
                <w:lang w:val="en-US" w:eastAsia="zh-CN"/>
              </w:rPr>
              <w:t xml:space="preserve">（如为联合体投标，联合体各方成员均需提供满足）；</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(三)投标人的本项目开标时间前6个月内任何1个月的</w:t>
            </w:r>
            <w:r>
              <w:rPr>
                <w:rFonts w:hint="eastAsia" w:ascii="宋体" w:hAnsi="宋体" w:cs="宋体"/>
                <w:b/>
                <w:color w:val="auto"/>
                <w:sz w:val="28"/>
                <w:szCs w:val="28"/>
                <w:highlight w:val="none"/>
              </w:rPr>
              <w:t xml:space="preserve">依法缴纳税收扫描件和社会保障资金扫描件</w:t>
            </w:r>
            <w:r>
              <w:rPr>
                <w:rFonts w:hint="eastAsia" w:ascii="宋体" w:hAnsi="宋体" w:cs="宋体"/>
                <w:color w:val="auto"/>
                <w:sz w:val="28"/>
                <w:szCs w:val="28"/>
                <w:highlight w:val="none"/>
              </w:rPr>
              <w:t xml:space="preserve">的相关材料</w:t>
            </w:r>
            <w:r>
              <w:rPr>
                <w:rFonts w:hint="eastAsia" w:ascii="宋体" w:hAnsi="宋体" w:cs="宋体"/>
                <w:b/>
                <w:color w:val="auto"/>
                <w:sz w:val="28"/>
                <w:szCs w:val="28"/>
                <w:highlight w:val="none"/>
              </w:rPr>
              <w:t xml:space="preserve">各一份</w:t>
            </w:r>
            <w:r>
              <w:rPr>
                <w:rFonts w:hint="eastAsia" w:ascii="宋体" w:hAnsi="宋体" w:cs="宋体"/>
                <w:color w:val="auto"/>
                <w:sz w:val="28"/>
                <w:szCs w:val="28"/>
                <w:highlight w:val="none"/>
              </w:rPr>
              <w:t xml:space="preserve">（依法免税或不需要缴纳社会保障资金的供应商,提供相应文件扫描件证明其依法免税或不需要缴纳社会保障资金)；</w:t>
            </w:r>
            <w:r>
              <w:rPr>
                <w:rFonts w:hint="eastAsia" w:ascii="宋体" w:hAnsi="宋体" w:cs="宋体"/>
                <w:b/>
                <w:bCs/>
                <w:color w:val="auto"/>
                <w:sz w:val="28"/>
                <w:szCs w:val="28"/>
                <w:highlight w:val="none"/>
                <w:lang w:val="en-US" w:eastAsia="zh-CN"/>
              </w:rPr>
              <w:t xml:space="preserve">（如为联合体投标，联合体各方成员均需提供满足）；</w:t>
            </w:r>
            <w:r/>
          </w:p>
          <w:p>
            <w:pPr>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w:t>
            </w:r>
            <w:r>
              <w:rPr>
                <w:rFonts w:hint="eastAsia" w:ascii="宋体" w:hAnsi="宋体" w:cs="宋体"/>
                <w:b/>
                <w:bCs/>
                <w:color w:val="auto"/>
                <w:sz w:val="28"/>
                <w:szCs w:val="28"/>
                <w:highlight w:val="none"/>
              </w:rPr>
              <w:t xml:space="preserve">具备履行合同所必需的设备和专业技术能力的证明材料。即</w:t>
            </w:r>
            <w:r>
              <w:rPr>
                <w:rFonts w:hint="eastAsia" w:ascii="宋体" w:hAnsi="宋体" w:eastAsia="宋体" w:cs="宋体"/>
                <w:b/>
                <w:bCs/>
                <w:color w:val="auto"/>
                <w:sz w:val="28"/>
                <w:szCs w:val="28"/>
                <w:highlight w:val="none"/>
              </w:rPr>
              <w:t xml:space="preserve">投标文件中提供《</w:t>
            </w:r>
            <w:bookmarkStart w:id="2" w:name="_Toc515551102"/>
            <w:r>
              <w:rPr>
                <w:rFonts w:hint="eastAsia" w:ascii="宋体" w:hAnsi="宋体" w:eastAsia="宋体" w:cs="宋体"/>
                <w:b/>
                <w:bCs/>
                <w:color w:val="auto"/>
                <w:sz w:val="28"/>
                <w:szCs w:val="28"/>
                <w:highlight w:val="none"/>
              </w:rPr>
              <w:t xml:space="preserve">具备履行合同所必需的设备和专业技术能力的书面声明</w:t>
            </w:r>
            <w:bookmarkEnd w:id="2"/>
            <w:r>
              <w:rPr>
                <w:rFonts w:hint="eastAsia" w:ascii="宋体" w:hAnsi="宋体" w:eastAsia="宋体" w:cs="宋体"/>
                <w:b/>
                <w:bCs/>
                <w:color w:val="auto"/>
                <w:sz w:val="28"/>
                <w:szCs w:val="28"/>
                <w:highlight w:val="none"/>
              </w:rPr>
              <w:t xml:space="preserve">》</w:t>
            </w:r>
            <w:r>
              <w:rPr>
                <w:rFonts w:hint="eastAsia" w:ascii="宋体" w:hAnsi="宋体" w:eastAsia="宋体" w:cs="宋体"/>
                <w:color w:val="auto"/>
                <w:sz w:val="28"/>
                <w:szCs w:val="28"/>
                <w:highlight w:val="none"/>
              </w:rPr>
              <w:t xml:space="preserve">（加盖电子签章，格式见招标文件第七章《投标文件相关格式》）</w:t>
            </w:r>
            <w:r>
              <w:rPr>
                <w:rFonts w:hint="eastAsia" w:ascii="宋体" w:hAnsi="宋体" w:eastAsia="宋体" w:cs="宋体"/>
                <w:color w:val="auto"/>
                <w:sz w:val="28"/>
                <w:szCs w:val="28"/>
                <w:highlight w:val="none"/>
                <w:lang w:eastAsia="zh-CN"/>
              </w:rPr>
              <w:t xml:space="preserve">；</w:t>
            </w:r>
            <w:r/>
          </w:p>
          <w:p>
            <w:pPr>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（五）投标人参加政府采购活动前3年内在经营活动中没有重大违法记录的书面声明，加盖</w:t>
            </w:r>
            <w:r>
              <w:rPr>
                <w:rFonts w:hint="eastAsia" w:ascii="宋体" w:hAnsi="宋体" w:cs="宋体"/>
                <w:b/>
                <w:color w:val="auto"/>
                <w:sz w:val="28"/>
                <w:szCs w:val="28"/>
                <w:highlight w:val="none"/>
              </w:rPr>
              <w:t xml:space="preserve">电子签章</w:t>
            </w:r>
            <w:r>
              <w:rPr>
                <w:rFonts w:hint="eastAsia" w:ascii="宋体" w:hAnsi="宋体" w:cs="宋体"/>
                <w:color w:val="auto"/>
                <w:sz w:val="28"/>
                <w:szCs w:val="28"/>
                <w:highlight w:val="none"/>
              </w:rPr>
              <w:t xml:space="preserve">，格式见本文件第七章《投标文件相关格式》；</w:t>
            </w:r>
            <w:r>
              <w:rPr>
                <w:rFonts w:hint="eastAsia" w:ascii="宋体" w:hAnsi="宋体" w:cs="宋体"/>
                <w:b/>
                <w:bCs/>
                <w:color w:val="auto"/>
                <w:sz w:val="28"/>
                <w:szCs w:val="28"/>
                <w:highlight w:val="none"/>
                <w:lang w:val="en-US" w:eastAsia="zh-CN"/>
              </w:rPr>
              <w:t xml:space="preserve">（如为联合体投标，联合体各方成员均需提供满足）；</w:t>
            </w:r>
            <w:r/>
          </w:p>
          <w:p>
            <w:pPr>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六</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联合体投标协议书和联合体牵头人授权委托书（如为联合体投标）；</w:t>
            </w:r>
            <w:r>
              <w:rPr>
                <w:rFonts w:hint="eastAsia" w:ascii="宋体" w:hAnsi="宋体" w:cs="宋体"/>
                <w:color w:val="auto"/>
                <w:sz w:val="28"/>
                <w:szCs w:val="28"/>
                <w:highlight w:val="none"/>
              </w:rPr>
              <w:t xml:space="preserve">格式见本文件第七章《投标文件相关格式》；</w:t>
            </w:r>
            <w:r>
              <w:rPr>
                <w:rFonts w:hint="eastAsia" w:ascii="宋体" w:hAnsi="宋体" w:cs="宋体"/>
                <w:b/>
                <w:bCs/>
                <w:color w:val="auto"/>
                <w:sz w:val="28"/>
                <w:szCs w:val="28"/>
                <w:highlight w:val="none"/>
                <w:lang w:val="en-US" w:eastAsia="zh-CN"/>
              </w:rPr>
              <w:t xml:space="preserve">（如为联合体投标，联合体各方成员均需提供满足）</w:t>
            </w:r>
            <w:r/>
          </w:p>
          <w:p>
            <w:pPr>
              <w:ind w:right="28"/>
              <w:spacing w:after="0" w:line="240" w:lineRule="auto"/>
              <w:rPr>
                <w:rFonts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w:t>
            </w:r>
            <w:r>
              <w:rPr>
                <w:rFonts w:hint="eastAsia" w:ascii="宋体" w:hAnsi="宋体" w:eastAsia="宋体" w:cs="宋体"/>
                <w:color w:val="auto"/>
                <w:sz w:val="28"/>
                <w:szCs w:val="28"/>
                <w:highlight w:val="none"/>
                <w:lang w:val="en-US" w:eastAsia="zh-CN"/>
              </w:rPr>
              <w:t xml:space="preserve">未被“信用中国”网站（www.creditchina.gov.cn）列入失信被执行人、重大税收违法案件当事人名单、政府采购严重失信行为记录名单。</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三、符合条件（必须提供，否则投标无效）</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(一)报价</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1、《开标一览表》。</w:t>
            </w:r>
            <w:r>
              <w:rPr>
                <w:rFonts w:hint="eastAsia" w:ascii="宋体" w:hAnsi="宋体" w:cs="宋体"/>
                <w:color w:val="auto"/>
                <w:sz w:val="28"/>
                <w:szCs w:val="28"/>
                <w:highlight w:val="none"/>
              </w:rPr>
              <w:t xml:space="preserve">要求加盖电子签章，政府采购客户端工具输入报价自动生成。</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2、《分项价格表》。要求加盖电子签章，格式见本文件第七章《投标文件相关格式》（必须提供，否则在符合性审查时按照投标无效处理）。</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（二）商务资信</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1、《投标函》（要求加盖电子签章，格式见招标文件第七章《投标文件相关格式》。）</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w:t>
            </w:r>
            <w:r>
              <w:rPr>
                <w:rFonts w:hint="eastAsia" w:ascii="宋体" w:hAnsi="宋体" w:cs="宋体"/>
                <w:b/>
                <w:color w:val="auto"/>
                <w:sz w:val="28"/>
                <w:szCs w:val="28"/>
                <w:highlight w:val="none"/>
              </w:rPr>
              <w:t xml:space="preserve">《授权委托书》。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（三）技术响应</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1、《偏离表》（加盖电子签章，格式见招标文件第七章《投标文件相关格式》。）</w:t>
            </w:r>
            <w:r/>
          </w:p>
          <w:p>
            <w:pPr>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2、《“中标后作业人员配置”的承诺函》，加盖公章，</w:t>
            </w:r>
            <w:r>
              <w:rPr>
                <w:rFonts w:hint="eastAsia" w:ascii="宋体" w:hAnsi="宋体" w:cs="宋体"/>
                <w:b/>
                <w:bCs/>
                <w:color w:val="auto"/>
                <w:sz w:val="28"/>
                <w:szCs w:val="28"/>
                <w:highlight w:val="none"/>
              </w:rPr>
              <w:t xml:space="preserve">格式见招标文件第七章《投标文件相关格式》</w:t>
            </w:r>
            <w:r>
              <w:rPr>
                <w:rFonts w:hint="eastAsia" w:ascii="宋体" w:hAnsi="宋体" w:cs="宋体"/>
                <w:b/>
                <w:bCs/>
                <w:color w:val="auto"/>
                <w:sz w:val="28"/>
                <w:szCs w:val="28"/>
                <w:highlight w:val="none"/>
                <w:lang w:val="en-US" w:eastAsia="zh-CN"/>
              </w:rPr>
              <w:t xml:space="preserve">。必须提供，否则在符合性审查时按照投标无效处理）。</w:t>
            </w:r>
            <w:r/>
          </w:p>
          <w:p>
            <w:pPr>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3、《“中标后车辆配置”的承诺函》，加盖公章，</w:t>
            </w:r>
            <w:r>
              <w:rPr>
                <w:rFonts w:hint="eastAsia" w:ascii="宋体" w:hAnsi="宋体" w:cs="宋体"/>
                <w:b/>
                <w:bCs/>
                <w:color w:val="auto"/>
                <w:sz w:val="28"/>
                <w:szCs w:val="28"/>
                <w:highlight w:val="none"/>
              </w:rPr>
              <w:t xml:space="preserve">格式见招标文件第七章《投标文件相关格式》</w:t>
            </w:r>
            <w:r>
              <w:rPr>
                <w:rFonts w:hint="eastAsia" w:ascii="宋体" w:hAnsi="宋体" w:cs="宋体"/>
                <w:b/>
                <w:bCs/>
                <w:color w:val="auto"/>
                <w:sz w:val="28"/>
                <w:szCs w:val="28"/>
                <w:highlight w:val="none"/>
                <w:lang w:val="en-US" w:eastAsia="zh-CN"/>
              </w:rPr>
              <w:t xml:space="preserve">。必须提供，否则在符合性审查时按照投标无效处理）。</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四、综合评审评分项</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（一）技术部分</w:t>
            </w:r>
            <w:r/>
          </w:p>
          <w:p>
            <w:pPr>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（要求见招标文件第六章《采购需求》及第四章《评标标准》中《评分细则》）；</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（二）</w:t>
            </w:r>
            <w:r>
              <w:rPr>
                <w:rFonts w:hint="eastAsia" w:ascii="宋体" w:hAnsi="宋体" w:cs="宋体"/>
                <w:b/>
                <w:bCs/>
                <w:color w:val="auto"/>
                <w:sz w:val="28"/>
                <w:szCs w:val="28"/>
                <w:highlight w:val="none"/>
              </w:rPr>
              <w:t xml:space="preserve">商务部分</w:t>
            </w:r>
            <w:r/>
          </w:p>
          <w:p>
            <w:pPr>
              <w:pStyle w:val="1145"/>
              <w:numPr>
                <w:ilvl w:val="0"/>
                <w:numId w:val="0"/>
              </w:numPr>
              <w:spacing w:line="240" w:lineRule="auto"/>
              <w:rPr>
                <w:rFonts w:ascii="宋体" w:hAnsi="宋体" w:cs="宋体"/>
                <w:b/>
                <w:bCs/>
                <w:color w:val="auto"/>
                <w:sz w:val="28"/>
                <w:szCs w:val="28"/>
                <w:highlight w:val="none"/>
              </w:rPr>
            </w:pPr>
            <w:r>
              <w:rPr>
                <w:rFonts w:hint="eastAsia" w:ascii="宋体" w:hAnsi="宋体" w:cs="宋体"/>
                <w:b/>
                <w:bCs w:val="0"/>
                <w:color w:val="auto"/>
                <w:sz w:val="28"/>
                <w:szCs w:val="28"/>
                <w:highlight w:val="none"/>
                <w:lang w:val="en-US" w:eastAsia="zh-CN"/>
              </w:rPr>
              <w:t xml:space="preserve">1、</w:t>
            </w:r>
            <w:r>
              <w:rPr>
                <w:rFonts w:hint="eastAsia" w:ascii="宋体" w:hAnsi="宋体" w:eastAsia="宋体" w:cs="宋体"/>
                <w:b/>
                <w:bCs w:val="0"/>
                <w:color w:val="auto"/>
                <w:sz w:val="28"/>
                <w:szCs w:val="28"/>
                <w:highlight w:val="none"/>
              </w:rPr>
              <w:t xml:space="preserve">要求见本文件第四章《评标标准》。</w:t>
            </w:r>
            <w:r/>
          </w:p>
          <w:p>
            <w:pPr>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rPr>
              <w:t xml:space="preserve">五、其他部分</w:t>
            </w:r>
            <w:r/>
          </w:p>
          <w:p>
            <w:pPr>
              <w:rPr>
                <w:rFonts w:hint="eastAsia"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1、价格折扣文件格式：</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本项目不属于专门面向中小微企业采购的项目，</w:t>
            </w:r>
            <w:r>
              <w:rPr>
                <w:rFonts w:hint="eastAsia" w:ascii="宋体" w:hAnsi="宋体" w:eastAsia="宋体" w:cs="宋体"/>
                <w:color w:val="auto"/>
                <w:sz w:val="30"/>
                <w:highlight w:val="none"/>
              </w:rPr>
              <w:t xml:space="preserve">投标人</w:t>
            </w:r>
            <w:r>
              <w:rPr>
                <w:rFonts w:hint="eastAsia" w:ascii="宋体" w:hAnsi="宋体" w:eastAsia="宋体" w:cs="宋体"/>
                <w:b/>
                <w:bCs/>
                <w:color w:val="auto"/>
                <w:sz w:val="28"/>
                <w:szCs w:val="28"/>
                <w:highlight w:val="none"/>
              </w:rPr>
              <w:t xml:space="preserve">如为中小微企业（含中型、小型、微型企业，下同），投标文件中提供《中小企业声明函》（加盖电子签章，填写完整。</w:t>
            </w:r>
            <w:r>
              <w:rPr>
                <w:rFonts w:hint="eastAsia" w:ascii="宋体" w:hAnsi="宋体" w:eastAsia="宋体" w:cs="宋体"/>
                <w:color w:val="auto"/>
                <w:sz w:val="28"/>
                <w:szCs w:val="28"/>
                <w:highlight w:val="none"/>
              </w:rPr>
              <w:t xml:space="preserve">格式见本文件第七章《投标文件相关格式》，如不填写完整或未按要求填写的，视为不满足，非必须提供）。《中小企业声明函》查询渠道用微信搜索“中小企业规模类型自测小程序”。</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注：</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w:t>
            </w:r>
            <w:r>
              <w:rPr>
                <w:rFonts w:hint="eastAsia" w:ascii="宋体" w:hAnsi="宋体" w:eastAsia="宋体" w:cs="宋体"/>
                <w:color w:val="auto"/>
                <w:sz w:val="28"/>
                <w:szCs w:val="28"/>
                <w:highlight w:val="none"/>
                <w:lang w:eastAsia="zh-CN"/>
              </w:rPr>
              <w:t xml:space="preserve">〔2011〕300号</w:t>
            </w:r>
            <w:r>
              <w:rPr>
                <w:rFonts w:hint="eastAsia" w:ascii="宋体" w:hAnsi="宋体" w:eastAsia="宋体" w:cs="宋体"/>
                <w:color w:val="auto"/>
                <w:sz w:val="28"/>
                <w:szCs w:val="28"/>
                <w:highlight w:val="none"/>
              </w:rPr>
              <w:t xml:space="preserve">）的规定为准。</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30"/>
                <w:highlight w:val="none"/>
              </w:rPr>
              <w:t xml:space="preserve">投标人</w:t>
            </w:r>
            <w:r>
              <w:rPr>
                <w:rFonts w:hint="eastAsia" w:ascii="宋体" w:hAnsi="宋体" w:eastAsia="宋体" w:cs="宋体"/>
                <w:color w:val="auto"/>
                <w:sz w:val="28"/>
                <w:szCs w:val="28"/>
                <w:highlight w:val="none"/>
              </w:rPr>
              <w:t xml:space="preserve">为残疾人福利性单位的，视同小微企业，提供《残疾人福利性单位声明函》（加盖电子签章，格式见招标文件第七章《投标文件相关格式》）。具体以《关于促进残疾人就业政府采购政策的通知》（财库〔2017〕141号）的规定为准。</w:t>
            </w:r>
            <w:r/>
          </w:p>
          <w:p>
            <w:pPr>
              <w:rPr>
                <w:rFonts w:ascii="宋体" w:hAnsi="宋体" w:cs="宋体"/>
                <w:b/>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30"/>
                <w:highlight w:val="none"/>
              </w:rPr>
              <w:t xml:space="preserve">投标人</w:t>
            </w:r>
            <w:r>
              <w:rPr>
                <w:rFonts w:hint="eastAsia" w:ascii="宋体" w:hAnsi="宋体" w:eastAsia="宋体" w:cs="宋体"/>
                <w:color w:val="auto"/>
                <w:sz w:val="28"/>
                <w:szCs w:val="28"/>
                <w:highlight w:val="none"/>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cs="宋体"/>
                <w:b/>
                <w:color w:val="auto"/>
                <w:sz w:val="28"/>
                <w:szCs w:val="28"/>
                <w:highlight w:val="none"/>
              </w:rPr>
              <w:t xml:space="preserve">。</w:t>
            </w:r>
            <w:r/>
          </w:p>
          <w:p>
            <w:pPr>
              <w:rPr>
                <w:rFonts w:ascii="宋体" w:hAnsi="宋体" w:cs="宋体"/>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color w:val="auto"/>
                <w:sz w:val="28"/>
                <w:szCs w:val="28"/>
                <w:highlight w:val="none"/>
              </w:rPr>
              <w:t xml:space="preserve">：</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1、投标人应对以上文件的合法性、真实性负责。</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(十三)2</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商务条件见：</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一、本文件第四章《评标标准》中《评分细则》。</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(十三)3</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交货和提供服务的时间：见本文件第五章《拟签订的合同文本》及本文件第六章《采购需求》。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(十四)3</w:t>
            </w:r>
            <w:r/>
          </w:p>
        </w:tc>
        <w:tc>
          <w:tcPr>
            <w:tcMar>
              <w:left w:w="108" w:type="dxa"/>
              <w:top w:w="0" w:type="dxa"/>
              <w:right w:w="108" w:type="dxa"/>
              <w:bottom w:w="0" w:type="dxa"/>
            </w:tcMar>
            <w:tcW w:w="8313" w:type="dxa"/>
            <w:textDirection w:val="lrTb"/>
            <w:noWrap w:val="false"/>
          </w:tcPr>
          <w:p>
            <w:pP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本项目预算金额人民币</w:t>
            </w:r>
            <w:r>
              <w:rPr>
                <w:rFonts w:hint="eastAsia" w:ascii="宋体" w:hAnsi="宋体" w:cs="宋体"/>
                <w:b/>
                <w:bCs/>
                <w:color w:val="auto"/>
                <w:sz w:val="28"/>
                <w:szCs w:val="28"/>
                <w:highlight w:val="none"/>
                <w:lang w:val="en-US" w:eastAsia="zh-CN"/>
              </w:rPr>
              <w:t xml:space="preserve">1671</w:t>
            </w:r>
            <w:r>
              <w:rPr>
                <w:rFonts w:hint="eastAsia" w:ascii="宋体" w:hAnsi="宋体" w:cs="宋体"/>
                <w:b/>
                <w:bCs/>
                <w:color w:val="auto"/>
                <w:sz w:val="28"/>
                <w:szCs w:val="28"/>
                <w:highlight w:val="none"/>
              </w:rPr>
              <w:t xml:space="preserve">万元，不接受超过采购预算的投标报价。</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报价包括产品价、税金、运费、安装调试、检验、保险、验收等全部费用，采购人不再支付报价以外的任何费用。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投标人须用政府采购客户端工具导入“苏采云”系统下载的采购文件（后缀）、供应商操作手册及政府采购客户端工具可通过“苏采云”系统（网址：</w:t>
            </w:r>
            <w:r>
              <w:rPr>
                <w:rFonts w:hint="eastAsia"/>
                <w:color w:val="auto"/>
                <w:highlight w:val="none"/>
              </w:rPr>
              <w:fldChar w:fldCharType="begin"/>
            </w:r>
            <w:r>
              <w:rPr>
                <w:color w:val="auto"/>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color w:val="auto"/>
                <w:highlight w:val="none"/>
              </w:rPr>
              <w:fldChar w:fldCharType="separate"/>
            </w:r>
            <w:r>
              <w:rPr>
                <w:rStyle w:val="907"/>
                <w:rFonts w:hint="eastAsia" w:ascii="宋体" w:hAnsi="宋体" w:cs="宋体"/>
                <w:color w:val="auto"/>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907"/>
                <w:rFonts w:hint="eastAsia" w:ascii="宋体" w:hAnsi="宋体" w:cs="宋体"/>
                <w:color w:val="auto"/>
                <w:sz w:val="28"/>
                <w:szCs w:val="28"/>
                <w:highlight w:val="none"/>
                <w:u w:val="none"/>
              </w:rPr>
              <w:fldChar w:fldCharType="end"/>
            </w:r>
            <w:r/>
          </w:p>
          <w:p>
            <w:pPr>
              <w:ind w:firstLine="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投标人应当通过“苏采云”系统提交数据电文形式的投标文件（即电子投标）。</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特别说明：政府采购客户端工具需要导出加密的投标文件（后缀名为</w:t>
            </w:r>
            <w:r>
              <w:rPr>
                <w:rFonts w:hint="eastAsia" w:ascii="宋体" w:hAnsi="宋体" w:cs="宋体"/>
                <w:b/>
                <w:bCs/>
                <w:color w:val="auto"/>
                <w:sz w:val="28"/>
                <w:szCs w:val="28"/>
                <w:highlight w:val="none"/>
              </w:rPr>
              <w:t xml:space="preserve">zip</w:t>
            </w:r>
            <w:r>
              <w:rPr>
                <w:rFonts w:hint="eastAsia" w:ascii="宋体" w:hAnsi="宋体" w:cs="宋体"/>
                <w:color w:val="auto"/>
                <w:sz w:val="28"/>
                <w:szCs w:val="28"/>
                <w:highlight w:val="none"/>
              </w:rPr>
              <w:t xml:space="preserve">）。</w:t>
            </w:r>
            <w:r>
              <w:rPr>
                <w:rFonts w:hint="eastAsia" w:ascii="宋体" w:hAnsi="宋体" w:cs="宋体"/>
                <w:b/>
                <w:bCs/>
                <w:color w:val="auto"/>
                <w:sz w:val="28"/>
                <w:szCs w:val="28"/>
                <w:highlight w:val="none"/>
              </w:rPr>
              <w:t xml:space="preserve">投标文件不得超过150M！</w:t>
            </w:r>
            <w:r>
              <w:rPr>
                <w:rFonts w:hint="eastAsia" w:ascii="宋体" w:hAnsi="宋体" w:cs="宋体"/>
                <w:color w:val="auto"/>
                <w:sz w:val="28"/>
                <w:szCs w:val="28"/>
                <w:highlight w:val="none"/>
              </w:rPr>
              <w:t xml:space="preserve">名为</w:t>
            </w:r>
            <w:r>
              <w:rPr>
                <w:rFonts w:hint="eastAsia" w:ascii="宋体" w:hAnsi="宋体" w:cs="宋体"/>
                <w:b/>
                <w:bCs/>
                <w:color w:val="auto"/>
                <w:sz w:val="28"/>
                <w:szCs w:val="28"/>
                <w:highlight w:val="none"/>
              </w:rPr>
              <w:t xml:space="preserve">“.kedt”</w:t>
            </w:r>
            <w:r>
              <w:rPr>
                <w:rFonts w:hint="eastAsia" w:ascii="宋体" w:hAnsi="宋体" w:cs="宋体"/>
                <w:color w:val="auto"/>
                <w:sz w:val="28"/>
                <w:szCs w:val="28"/>
                <w:highlight w:val="none"/>
              </w:rPr>
              <w:t xml:space="preserve">）后，离线编制投标文件。采购文件（后缀名为</w:t>
            </w:r>
            <w:r>
              <w:rPr>
                <w:rFonts w:hint="eastAsia" w:ascii="宋体" w:hAnsi="宋体" w:cs="宋体"/>
                <w:b/>
                <w:bCs/>
                <w:color w:val="auto"/>
                <w:sz w:val="28"/>
                <w:szCs w:val="28"/>
                <w:highlight w:val="none"/>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(十八)</w:t>
            </w:r>
            <w:r/>
          </w:p>
        </w:tc>
        <w:tc>
          <w:tcPr>
            <w:tcMar>
              <w:left w:w="108" w:type="dxa"/>
              <w:top w:w="0" w:type="dxa"/>
              <w:right w:w="108" w:type="dxa"/>
              <w:bottom w:w="0" w:type="dxa"/>
            </w:tcMar>
            <w:tcW w:w="8313" w:type="dxa"/>
            <w:textDirection w:val="lrTb"/>
            <w:noWrap w:val="false"/>
          </w:tcPr>
          <w:p>
            <w:pPr>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见本文件第三章《投标资料表》中(十二)1和(十二)2</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bidi="ar"/>
              </w:rPr>
              <w:t xml:space="preserve">如为联合体投标，</w:t>
            </w:r>
            <w:r>
              <w:rPr>
                <w:rFonts w:hint="eastAsia" w:ascii="宋体" w:hAnsi="宋体" w:cs="宋体"/>
                <w:color w:val="auto"/>
                <w:sz w:val="28"/>
                <w:szCs w:val="28"/>
                <w:highlight w:val="none"/>
                <w:lang w:val="en-US" w:eastAsia="zh-CN" w:bidi="ar"/>
              </w:rPr>
              <w:t xml:space="preserve">除联合体协议书和牵头人授权书联合体成员均需盖章外，其他资料均由联合体牵头人签章或盖章即可</w:t>
            </w:r>
            <w:r>
              <w:rPr>
                <w:rFonts w:hint="eastAsia" w:ascii="宋体" w:hAnsi="宋体" w:cs="宋体"/>
                <w:color w:val="auto"/>
                <w:sz w:val="28"/>
                <w:szCs w:val="28"/>
                <w:highlight w:val="none"/>
                <w:lang w:eastAsia="zh-CN"/>
              </w:rPr>
              <w:t xml:space="preserve">）</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投标文件的提交与接收： </w:t>
            </w:r>
            <w:r/>
          </w:p>
          <w:p>
            <w:pPr>
              <w:ind w:left="560" w:hanging="560"/>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1、投标文件提交与接收时间：202</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年1月</w:t>
            </w:r>
            <w:r>
              <w:rPr>
                <w:rFonts w:hint="eastAsia" w:ascii="宋体" w:hAnsi="宋体" w:cs="宋体"/>
                <w:b/>
                <w:bCs/>
                <w:color w:val="auto"/>
                <w:sz w:val="28"/>
                <w:szCs w:val="28"/>
                <w:highlight w:val="none"/>
                <w:lang w:val="en-US" w:eastAsia="zh-CN"/>
              </w:rPr>
              <w:t xml:space="preserve">26</w:t>
            </w:r>
            <w:r>
              <w:rPr>
                <w:rFonts w:hint="eastAsia" w:ascii="宋体" w:hAnsi="宋体" w:cs="宋体"/>
                <w:b/>
                <w:bCs/>
                <w:color w:val="auto"/>
                <w:sz w:val="28"/>
                <w:szCs w:val="28"/>
                <w:highlight w:val="none"/>
              </w:rPr>
              <w:t xml:space="preserve">日09:30前。</w:t>
            </w:r>
            <w:r/>
          </w:p>
          <w:p>
            <w:pPr>
              <w:ind w:left="560" w:hanging="560"/>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2、投标文件提交与接收地点：</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投标人应当通过“苏采云”系统提交数据电文形式的投标文件（即电子投标），“苏采云”系统自动接收。</w:t>
            </w:r>
            <w:r/>
          </w:p>
        </w:tc>
      </w:tr>
      <w:tr>
        <w:trPr>
          <w:jc w:val="center"/>
          <w:trHeight w:val="496"/>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电子投标文件应由其法定代表人或法定代表人授权代表在规定的网上投标时间内，</w:t>
            </w:r>
            <w:r>
              <w:rPr>
                <w:rFonts w:hint="eastAsia" w:ascii="宋体" w:hAnsi="宋体" w:cs="宋体"/>
                <w:b/>
                <w:color w:val="auto"/>
                <w:sz w:val="28"/>
                <w:szCs w:val="28"/>
                <w:highlight w:val="none"/>
              </w:rPr>
              <w:t xml:space="preserve">凭 CA 证书登录“苏采云”系统在线编制投标文件（电子数据），并在投标截止时间之前上传投标文件。并于开标时凭CA锁进行解密。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开标</w:t>
            </w:r>
            <w:r/>
          </w:p>
        </w:tc>
      </w:tr>
      <w:tr>
        <w:trPr>
          <w:jc w:val="center"/>
          <w:trHeight w:val="497"/>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开标时间及地点：</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1、开标时间：</w:t>
            </w:r>
            <w:r>
              <w:rPr>
                <w:rFonts w:hint="eastAsia" w:ascii="宋体" w:hAnsi="宋体" w:cs="宋体"/>
                <w:b/>
                <w:color w:val="auto"/>
                <w:sz w:val="28"/>
                <w:szCs w:val="28"/>
                <w:highlight w:val="none"/>
              </w:rPr>
              <w:t xml:space="preserve">202</w:t>
            </w:r>
            <w:r>
              <w:rPr>
                <w:rFonts w:hint="eastAsia" w:ascii="宋体" w:hAnsi="宋体" w:cs="宋体"/>
                <w:b/>
                <w:color w:val="auto"/>
                <w:sz w:val="28"/>
                <w:szCs w:val="28"/>
                <w:highlight w:val="none"/>
                <w:lang w:val="en-US" w:eastAsia="zh-CN"/>
              </w:rPr>
              <w:t xml:space="preserve">6</w:t>
            </w:r>
            <w:r>
              <w:rPr>
                <w:rFonts w:hint="eastAsia" w:ascii="宋体" w:hAnsi="宋体" w:cs="宋体"/>
                <w:b/>
                <w:color w:val="auto"/>
                <w:sz w:val="28"/>
                <w:szCs w:val="28"/>
                <w:highlight w:val="none"/>
              </w:rPr>
              <w:t xml:space="preserve">年1月</w:t>
            </w:r>
            <w:r>
              <w:rPr>
                <w:rFonts w:hint="eastAsia" w:ascii="宋体" w:hAnsi="宋体" w:cs="宋体"/>
                <w:b/>
                <w:color w:val="auto"/>
                <w:sz w:val="28"/>
                <w:szCs w:val="28"/>
                <w:highlight w:val="none"/>
                <w:lang w:val="en-US" w:eastAsia="zh-CN"/>
              </w:rPr>
              <w:t xml:space="preserve">26</w:t>
            </w:r>
            <w:r>
              <w:rPr>
                <w:rFonts w:hint="eastAsia" w:ascii="宋体" w:hAnsi="宋体" w:cs="宋体"/>
                <w:b/>
                <w:color w:val="auto"/>
                <w:sz w:val="28"/>
                <w:szCs w:val="28"/>
                <w:highlight w:val="none"/>
              </w:rPr>
              <w:t xml:space="preserve">日09：30（北京时间）</w:t>
            </w:r>
            <w:r/>
          </w:p>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2、开标地点：</w:t>
            </w:r>
            <w:r/>
          </w:p>
          <w:p>
            <w:pPr>
              <w:jc w:val="lef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(二十六)3</w:t>
            </w:r>
            <w:r/>
          </w:p>
        </w:tc>
        <w:tc>
          <w:tcPr>
            <w:tcMar>
              <w:left w:w="108" w:type="dxa"/>
              <w:top w:w="0" w:type="dxa"/>
              <w:right w:w="108" w:type="dxa"/>
              <w:bottom w:w="0" w:type="dxa"/>
            </w:tcMar>
            <w:tcW w:w="8313" w:type="dxa"/>
            <w:vAlign w:val="center"/>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(二十七)</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采用综合评分法。</w:t>
            </w:r>
            <w:r/>
          </w:p>
        </w:tc>
      </w:tr>
      <w:tr>
        <w:trPr>
          <w:jc w:val="center"/>
          <w:trHeight w:val="1678"/>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(二十八)1</w:t>
            </w: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一、推荐中标候选供应商名单。中标候选供应商数量应当根据采购需要确定，但必须按顺序排列中标候选供应商。</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采用综合评分法的，按评审后得分由高到低顺序排列。得分相同的，按投标报价由低到高顺序排列。得分且投标报价相同的，按所投产品的技术响应得分顺序排列，得分且投标报价且所投产品的技术响应得分均相同的，按设备集成方案得分顺序排列。</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三、采购人应当自收到评标报告之日起5个工作日内，在评标报告确定的中标候选人名单中按得分最高顺序确定一名中标人。</w:t>
            </w:r>
            <w:r/>
          </w:p>
        </w:tc>
      </w:tr>
      <w:tr>
        <w:trPr>
          <w:jc w:val="center"/>
          <w:trHeight w:val="4700"/>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二十九</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采购人与中标人应当在中标通知书发出之日起30日内，按照采购文件确定的事项签订政府采购合同。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both"/>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履约保证金缴纳方式、时间及退款具体要求详见合同条款。</w:t>
            </w:r>
            <w:r/>
          </w:p>
        </w:tc>
      </w:tr>
      <w:tr>
        <w:trPr>
          <w:jc w:val="center"/>
          <w:trHeight w:val="686"/>
        </w:trPr>
        <w:tc>
          <w:tcPr>
            <w:tcMar>
              <w:left w:w="108" w:type="dxa"/>
              <w:top w:w="0" w:type="dxa"/>
              <w:right w:w="108" w:type="dxa"/>
              <w:bottom w:w="0" w:type="dxa"/>
            </w:tcMar>
            <w:tcW w:w="1471" w:type="dxa"/>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(四十)</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质疑接收人：</w:t>
            </w:r>
            <w:r>
              <w:rPr>
                <w:rFonts w:hint="eastAsia" w:ascii="宋体" w:hAnsi="宋体" w:cs="宋体"/>
                <w:color w:val="auto"/>
                <w:sz w:val="28"/>
                <w:szCs w:val="28"/>
                <w:highlight w:val="none"/>
                <w:lang w:val="en-US" w:eastAsia="zh-CN"/>
              </w:rPr>
              <w:t xml:space="preserve">尹素琴</w:t>
            </w:r>
            <w:r>
              <w:rPr>
                <w:rFonts w:hint="eastAsia" w:ascii="宋体" w:hAnsi="宋体" w:cs="宋体"/>
                <w:color w:val="auto"/>
                <w:sz w:val="28"/>
                <w:szCs w:val="28"/>
                <w:highlight w:val="none"/>
              </w:rPr>
              <w:t xml:space="preserve">     联系电话：</w:t>
            </w:r>
            <w:r>
              <w:rPr>
                <w:rFonts w:hint="eastAsia" w:ascii="宋体" w:hAnsi="宋体" w:cs="宋体"/>
                <w:color w:val="auto"/>
                <w:sz w:val="28"/>
                <w:szCs w:val="28"/>
                <w:highlight w:val="none"/>
                <w:lang w:eastAsia="zh-CN"/>
              </w:rPr>
              <w:t xml:space="preserve">0516-83820866</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rPr>
                <w:rFonts w:hint="eastAsia" w:ascii="宋体" w:hAnsi="宋体" w:cs="宋体"/>
                <w:color w:val="auto"/>
                <w:sz w:val="28"/>
                <w:szCs w:val="28"/>
                <w:highlight w:val="none"/>
                <w:lang w:eastAsia="zh-CN"/>
              </w:rPr>
              <w:t xml:space="preserve">徐州市云龙区和平路64号帝都大厦405室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附加说明</w:t>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中标人在收到中标通知书时，须向采购人和采购代理机构提交《开标一览表》和《分项价格表》的数据文件（WORD格式）。</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邮箱：</w:t>
            </w:r>
            <w:r>
              <w:rPr>
                <w:rFonts w:hint="eastAsia" w:ascii="宋体" w:hAnsi="宋体" w:cs="宋体"/>
                <w:color w:val="auto"/>
                <w:sz w:val="28"/>
                <w:szCs w:val="28"/>
                <w:highlight w:val="none"/>
                <w:lang w:val="en-US" w:eastAsia="zh-CN"/>
              </w:rPr>
              <w:t xml:space="preserve">542767829</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qq</w:t>
            </w:r>
            <w:r>
              <w:rPr>
                <w:rFonts w:hint="eastAsia" w:ascii="宋体" w:hAnsi="宋体" w:cs="宋体"/>
                <w:color w:val="auto"/>
                <w:sz w:val="28"/>
                <w:szCs w:val="28"/>
                <w:highlight w:val="none"/>
              </w:rPr>
              <w:t xml:space="preserv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8313"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1、评标中需要投标人对投标文件澄清或者说明的，应当通过“苏采云”系统交换数据电文。在评标期间，请投标人保持在线。</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spacing w:line="51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auto"/>
          <w:sz w:val="30"/>
          <w:highlight w:val="none"/>
        </w:rPr>
      </w:r>
      <w:r/>
    </w:p>
    <w:p>
      <w:pPr>
        <w:ind w:firstLine="600"/>
        <w:spacing w:line="360" w:lineRule="auto"/>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本章附件：</w:t>
      </w:r>
      <w:r>
        <w:rPr>
          <w:rFonts w:hint="eastAsia" w:ascii="宋体" w:hAnsi="宋体" w:cs="宋体"/>
          <w:b/>
          <w:color w:val="auto"/>
          <w:sz w:val="30"/>
          <w:highlight w:val="none"/>
        </w:rPr>
        <w:t xml:space="preserve">招标代理服务收费标准</w:t>
      </w:r>
      <w:r/>
    </w:p>
    <w:tbl>
      <w:tblPr>
        <w:tblStyle w:val="9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0.005%</w:t>
            </w:r>
            <w:r/>
          </w:p>
        </w:tc>
      </w:tr>
    </w:tbl>
    <w:p>
      <w:pP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说明：</w:t>
      </w:r>
      <w:r/>
    </w:p>
    <w:p>
      <w:pP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1</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按上表计算的收费为代理服务全过程的收费金额。各社会代理机构不再收取采购文件制作售卖费用。</w:t>
      </w:r>
      <w:r/>
    </w:p>
    <w:p>
      <w:pP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2</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代理服务费按差额定率累进法计算。</w:t>
      </w:r>
      <w:r/>
    </w:p>
    <w:p>
      <w:pP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代理服务费基准金额(按差额定率累进法计算的)=中标金额(按差额定率累进法计算的)*费率(%)</w:t>
      </w:r>
      <w:r/>
    </w:p>
    <w:p>
      <w:pP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4</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代理服务费应收取金额=代理服务费基准金额(按差额定率累进法计算的)的合计数。</w:t>
      </w:r>
      <w:r/>
    </w:p>
    <w:p>
      <w:pP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5</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定点类等无金额或事先不能计算出价格总额的项目，按中标(成交)金额100万元计算。</w:t>
      </w:r>
      <w:r/>
    </w:p>
    <w:p>
      <w:pP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6</w:t>
      </w:r>
      <w:r>
        <w:rPr>
          <w:rFonts w:hint="eastAsia" w:ascii="宋体" w:hAnsi="宋体" w:cs="宋体"/>
          <w:color w:val="auto"/>
          <w:sz w:val="28"/>
          <w:szCs w:val="28"/>
          <w:highlight w:val="none"/>
        </w:rPr>
        <w:t xml:space="preserve">、</w:t>
      </w:r>
      <w:r>
        <w:rPr>
          <w:rFonts w:ascii="宋体" w:hAnsi="宋体" w:cs="宋体"/>
          <w:color w:val="auto"/>
          <w:sz w:val="28"/>
          <w:szCs w:val="28"/>
          <w:highlight w:val="none"/>
        </w:rPr>
        <w:t xml:space="preserve">有分包(分标段)的按一个项目计算。</w:t>
      </w:r>
      <w:r/>
    </w:p>
    <w:p>
      <w:pPr>
        <w:spacing w:after="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7</w:t>
      </w:r>
      <w:r>
        <w:rPr>
          <w:rFonts w:hint="eastAsia" w:ascii="宋体" w:hAnsi="宋体" w:cs="宋体"/>
          <w:color w:val="auto"/>
          <w:sz w:val="28"/>
          <w:szCs w:val="28"/>
          <w:highlight w:val="none"/>
        </w:rPr>
        <w:t xml:space="preserve">、上表为自行约定的代理服务费标准。</w:t>
      </w:r>
      <w:r/>
    </w:p>
    <w:p>
      <w:pPr>
        <w:spacing w:line="40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color w:val="auto"/>
          <w:sz w:val="24"/>
          <w:highlight w:val="none"/>
        </w:rPr>
      </w:r>
      <w:r/>
    </w:p>
    <w:p>
      <w:pPr>
        <w:jc w:val="center"/>
        <w:spacing w:line="360" w:lineRule="auto"/>
        <w:rPr>
          <w:rFonts w:hint="eastAsia" w:ascii="宋体" w:hAnsi="宋体" w:cs="宋体"/>
          <w:color w:val="auto"/>
          <w:sz w:val="1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第四章 评标标准</w:t>
      </w:r>
      <w:r/>
    </w:p>
    <w:tbl>
      <w:tblPr>
        <w:tblStyle w:val="867"/>
        <w:tblW w:w="99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4"/>
        <w:gridCol w:w="1318"/>
        <w:gridCol w:w="7398"/>
      </w:tblGrid>
      <w:tr>
        <w:trPr>
          <w:jc w:val="center"/>
          <w:trHeight w:val="860"/>
        </w:trPr>
        <w:tc>
          <w:tcPr>
            <w:gridSpan w:val="2"/>
            <w:tcBorders>
              <w:top w:val="single" w:color="auto" w:sz="4" w:space="0"/>
              <w:left w:val="single" w:color="auto" w:sz="4" w:space="0"/>
            </w:tcBorders>
            <w:tcW w:w="2592" w:type="dxa"/>
            <w:vAlign w:val="center"/>
            <w:textDirection w:val="lrTb"/>
            <w:noWrap w:val="false"/>
          </w:tcPr>
          <w:p>
            <w:pPr>
              <w:jc w:val="center"/>
              <w:pageBreakBefore w:val="0"/>
              <w:spacing w:line="240" w:lineRule="auto"/>
              <w:rPr>
                <w:rFonts w:ascii="宋体" w:hAnsi="宋体" w:cs="宋体"/>
                <w:color w:val="auto"/>
                <w:sz w:val="24"/>
                <w:highlight w:val="none"/>
              </w:rPr>
            </w:pPr>
            <w:r>
              <w:rPr>
                <w:rFonts w:hint="eastAsia" w:ascii="宋体" w:hAnsi="宋体" w:cs="宋体"/>
                <w:color w:val="auto"/>
                <w:sz w:val="24"/>
                <w:highlight w:val="none"/>
              </w:rPr>
              <w:t xml:space="preserve">评分项目</w:t>
            </w:r>
            <w:r/>
          </w:p>
        </w:tc>
        <w:tc>
          <w:tcPr>
            <w:tcBorders>
              <w:top w:val="single" w:color="auto" w:sz="4" w:space="0"/>
            </w:tcBorders>
            <w:tcW w:w="7398" w:type="dxa"/>
            <w:vAlign w:val="center"/>
            <w:textDirection w:val="lrTb"/>
            <w:noWrap w:val="false"/>
          </w:tcPr>
          <w:p>
            <w:pPr>
              <w:jc w:val="center"/>
              <w:pageBreakBefore w:val="0"/>
              <w:spacing w:line="240" w:lineRule="auto"/>
              <w:rPr>
                <w:rFonts w:ascii="宋体" w:hAnsi="宋体" w:cs="宋体"/>
                <w:color w:val="auto"/>
                <w:sz w:val="24"/>
                <w:highlight w:val="none"/>
              </w:rPr>
            </w:pPr>
            <w:r>
              <w:rPr>
                <w:rFonts w:hint="eastAsia" w:ascii="宋体" w:hAnsi="宋体" w:cs="宋体"/>
                <w:color w:val="auto"/>
                <w:sz w:val="24"/>
                <w:highlight w:val="none"/>
              </w:rPr>
              <w:t xml:space="preserve">评分细则</w:t>
            </w:r>
            <w:r/>
          </w:p>
        </w:tc>
      </w:tr>
      <w:tr>
        <w:trPr>
          <w:jc w:val="center"/>
          <w:trHeight w:val="1773"/>
        </w:trPr>
        <w:tc>
          <w:tcPr>
            <w:gridSpan w:val="2"/>
            <w:tcBorders>
              <w:left w:val="single" w:color="auto" w:sz="4" w:space="0"/>
              <w:bottom w:val="single" w:color="auto" w:sz="4" w:space="0"/>
            </w:tcBorders>
            <w:tcW w:w="2592"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投标价格</w:t>
            </w:r>
            <w:r/>
          </w:p>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Borders>
              <w:bottom w:val="single" w:color="auto" w:sz="4" w:space="0"/>
            </w:tcBorders>
            <w:tcW w:w="7398" w:type="dxa"/>
            <w:vAlign w:val="center"/>
            <w:textDirection w:val="lrTb"/>
            <w:noWrap w:val="false"/>
          </w:tcPr>
          <w:p>
            <w:pPr>
              <w:pStyle w:val="878"/>
              <w:pageBreakBefore w:val="0"/>
              <w:spacing w:line="240" w:lineRule="auto"/>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highlight w:val="none"/>
              </w:rPr>
              <w:t xml:space="preserve">各投标人价格得分=最低报价（投标人的最低评审价格）÷各投标人评审价格×</w:t>
            </w:r>
            <w:r>
              <w:rPr>
                <w:rFonts w:hint="eastAsia" w:ascii="宋体" w:hAnsi="宋体"/>
                <w:color w:val="auto"/>
                <w:sz w:val="24"/>
                <w:highlight w:val="none"/>
                <w:lang w:val="en-US" w:eastAsia="zh-CN"/>
              </w:rPr>
              <w:t xml:space="preserve">10</w:t>
            </w:r>
            <w:r>
              <w:rPr>
                <w:rFonts w:ascii="宋体" w:hAnsi="宋体"/>
                <w:color w:val="auto"/>
                <w:sz w:val="24"/>
                <w:highlight w:val="none"/>
              </w:rPr>
              <w:t xml:space="preserve">。</w:t>
            </w:r>
            <w:r/>
          </w:p>
          <w:p>
            <w:pPr>
              <w:pStyle w:val="878"/>
              <w:pageBreakBefore w:val="0"/>
              <w:spacing w:line="240" w:lineRule="auto"/>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注：</w:t>
            </w:r>
            <w:r>
              <w:rPr>
                <w:rFonts w:hint="eastAsia" w:ascii="宋体" w:hAnsi="宋体"/>
                <w:color w:val="auto"/>
                <w:sz w:val="24"/>
                <w:highlight w:val="none"/>
                <w:u w:val="single"/>
              </w:rPr>
              <w:t xml:space="preserve">服务</w:t>
            </w:r>
            <w:r>
              <w:rPr>
                <w:rFonts w:hint="eastAsia" w:ascii="宋体" w:hAnsi="宋体"/>
                <w:color w:val="auto"/>
                <w:sz w:val="24"/>
                <w:highlight w:val="none"/>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jc w:val="left"/>
              <w:pageBreakBefore w:val="0"/>
              <w:spacing w:line="240" w:lineRule="auto"/>
              <w:rPr>
                <w:rFonts w:ascii="宋体" w:hAnsi="宋体" w:cs="宋体"/>
                <w:color w:val="auto"/>
                <w:sz w:val="24"/>
                <w:highlight w:val="none"/>
              </w:rPr>
            </w:pPr>
            <w:r>
              <w:rPr>
                <w:rFonts w:hint="eastAsia" w:ascii="宋体" w:hAnsi="宋体"/>
                <w:color w:val="auto"/>
                <w:sz w:val="24"/>
                <w:highlight w:val="none"/>
              </w:rPr>
              <w:t xml:space="preserve">注：得分四舍五入保留小数点后 2 位。</w:t>
            </w:r>
            <w:r/>
          </w:p>
        </w:tc>
      </w:tr>
      <w:tr>
        <w:trPr>
          <w:jc w:val="center"/>
          <w:trHeight w:val="90"/>
        </w:trPr>
        <w:tc>
          <w:tcPr>
            <w:tcBorders>
              <w:top w:val="single" w:color="auto" w:sz="4" w:space="0"/>
              <w:left w:val="single" w:color="auto" w:sz="4" w:space="0"/>
            </w:tcBorders>
            <w:tcW w:w="1274"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商务部分</w:t>
            </w:r>
            <w:r/>
          </w:p>
          <w:p>
            <w:pPr>
              <w:jc w:val="cente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tcBorders>
            <w:tcW w:w="1318" w:type="dxa"/>
            <w:vAlign w:val="center"/>
            <w:textDirection w:val="lrTb"/>
            <w:noWrap w:val="false"/>
          </w:tcPr>
          <w:p>
            <w:pPr>
              <w:jc w:val="cente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投标人综合实力</w:t>
            </w:r>
            <w:r/>
          </w:p>
          <w:p>
            <w:pPr>
              <w:jc w:val="center"/>
              <w:pageBreakBefore w:val="0"/>
              <w:spacing w:line="240" w:lineRule="auto"/>
              <w:rPr>
                <w:rFonts w:ascii="宋体" w:hAnsi="宋体" w:cs="宋体"/>
                <w:color w:val="auto"/>
                <w:sz w:val="24"/>
                <w:highlight w:val="none"/>
              </w:rPr>
            </w:pPr>
            <w:r>
              <w:rPr>
                <w:rFonts w:hint="eastAsia" w:ascii="宋体" w:hAnsi="宋体" w:cs="宋体"/>
                <w:color w:val="auto"/>
                <w:sz w:val="24"/>
                <w:highlight w:val="none"/>
              </w:rPr>
              <w:t xml:space="preserve">（6分）</w:t>
            </w:r>
            <w:r/>
          </w:p>
        </w:tc>
        <w:tc>
          <w:tcPr>
            <w:tcBorders>
              <w:top w:val="single" w:color="auto" w:sz="4" w:space="0"/>
            </w:tcBorders>
            <w:tcW w:w="7398" w:type="dxa"/>
            <w:vAlign w:val="center"/>
            <w:textDirection w:val="lrTb"/>
            <w:noWrap w:val="false"/>
          </w:tcPr>
          <w:p>
            <w:pPr>
              <w:jc w:val="left"/>
              <w:pageBreakBefore w:val="0"/>
              <w:spacing w:line="240" w:lineRule="auto"/>
              <w:rPr>
                <w:rFonts w:ascii="宋体" w:hAnsi="宋体" w:cs="宋体"/>
                <w:color w:val="auto"/>
                <w:sz w:val="24"/>
                <w:highlight w:val="none"/>
              </w:rPr>
            </w:pPr>
            <w:r>
              <w:rPr>
                <w:rFonts w:hint="eastAsia" w:ascii="宋体" w:hAnsi="宋体" w:cs="宋体"/>
                <w:color w:val="auto"/>
                <w:sz w:val="24"/>
                <w:highlight w:val="none"/>
              </w:rPr>
              <w:t xml:space="preserve">投标文件中提供投标人的：提供</w:t>
            </w:r>
            <w:r>
              <w:rPr>
                <w:rFonts w:hint="eastAsia" w:ascii="宋体" w:hAnsi="宋体" w:cs="宋体"/>
                <w:color w:val="auto"/>
                <w:sz w:val="24"/>
                <w:highlight w:val="none"/>
                <w:lang w:val="en-US" w:eastAsia="zh-CN"/>
              </w:rPr>
              <w:t xml:space="preserve">由中华人民共和国商务部-商务部业务系统统一平台的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再生资源回收经营备案登记证明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以及系统截图，</w:t>
            </w:r>
            <w:r>
              <w:rPr>
                <w:rFonts w:hint="eastAsia" w:ascii="宋体" w:hAnsi="宋体" w:cs="宋体"/>
                <w:color w:val="auto"/>
                <w:sz w:val="24"/>
                <w:highlight w:val="none"/>
              </w:rPr>
              <w:t xml:space="preserve">本项为6分。</w:t>
            </w:r>
            <w:r/>
          </w:p>
          <w:p>
            <w:pPr>
              <w:jc w:val="left"/>
              <w:pageBreakBefore w:val="0"/>
              <w:spacing w:line="240" w:lineRule="auto"/>
              <w:rPr>
                <w:rFonts w:ascii="宋体" w:hAnsi="宋体" w:cs="宋体"/>
                <w:color w:val="auto"/>
                <w:sz w:val="24"/>
                <w:highlight w:val="none"/>
              </w:rPr>
            </w:pPr>
            <w:r>
              <w:rPr>
                <w:rFonts w:hint="eastAsia" w:ascii="宋体" w:hAnsi="宋体" w:cs="宋体"/>
                <w:b/>
                <w:bCs/>
                <w:color w:val="auto"/>
                <w:sz w:val="24"/>
                <w:highlight w:val="none"/>
              </w:rPr>
              <w:t xml:space="preserve">投标文件中应提供加盖公章的有效</w:t>
            </w:r>
            <w:r>
              <w:rPr>
                <w:rFonts w:hint="eastAsia" w:ascii="宋体" w:hAnsi="宋体" w:cs="宋体"/>
                <w:b/>
                <w:bCs/>
                <w:color w:val="auto"/>
                <w:sz w:val="24"/>
                <w:highlight w:val="none"/>
                <w:lang w:val="en-US" w:eastAsia="zh-CN"/>
              </w:rPr>
              <w:t xml:space="preserve">相关证明文件，</w:t>
            </w:r>
            <w:r>
              <w:rPr>
                <w:rFonts w:hint="eastAsia" w:ascii="宋体" w:hAnsi="宋体" w:cs="宋体"/>
                <w:b/>
                <w:bCs/>
                <w:color w:val="auto"/>
                <w:sz w:val="24"/>
                <w:highlight w:val="none"/>
              </w:rPr>
              <w:t xml:space="preserve">无有效证明的，不得分。</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ascii="宋体" w:hAnsi="宋体" w:cs="宋体"/>
                <w:color w:val="auto"/>
                <w:sz w:val="24"/>
                <w:highlight w:val="none"/>
              </w:rPr>
            </w:pPr>
            <w:r>
              <w:rPr>
                <w:rFonts w:ascii="宋体" w:hAnsi="宋体" w:cs="宋体"/>
                <w:color w:val="auto"/>
                <w:sz w:val="24"/>
                <w:highlight w:val="none"/>
              </w:rPr>
            </w:r>
            <w:r/>
          </w:p>
        </w:tc>
        <w:tc>
          <w:tcPr>
            <w:tcW w:w="1318" w:type="dxa"/>
            <w:vAlign w:val="center"/>
            <w:textDirection w:val="lrTb"/>
            <w:noWrap w:val="false"/>
          </w:tcPr>
          <w:p>
            <w:pPr>
              <w:jc w:val="cente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人员配置</w:t>
            </w:r>
            <w:r/>
          </w:p>
          <w:p>
            <w:pPr>
              <w:jc w:val="center"/>
              <w:pageBreakBefore w:val="0"/>
              <w:spacing w:line="240" w:lineRule="auto"/>
              <w:rPr>
                <w:rFonts w:ascii="宋体" w:hAnsi="宋体" w:cs="宋体"/>
                <w:color w:val="auto"/>
                <w:sz w:val="24"/>
                <w:highlight w:val="none"/>
              </w:rPr>
            </w:pPr>
            <w:r>
              <w:rPr>
                <w:rFonts w:hint="eastAsia" w:ascii="宋体" w:hAnsi="宋体" w:cs="宋体"/>
                <w:color w:val="auto"/>
                <w:sz w:val="24"/>
                <w:highlight w:val="none"/>
              </w:rPr>
              <w:t xml:space="preserve">（10分）</w:t>
            </w:r>
            <w:r/>
          </w:p>
        </w:tc>
        <w:tc>
          <w:tcPr>
            <w:tcW w:w="7398" w:type="dxa"/>
            <w:vAlign w:val="center"/>
            <w:textDirection w:val="lrTb"/>
            <w:noWrap w:val="false"/>
          </w:tcPr>
          <w:p>
            <w:pPr>
              <w:pageBreakBefore w:val="0"/>
              <w:spacing w:line="240" w:lineRule="auto"/>
              <w:rPr>
                <w:rFonts w:ascii="宋体" w:hAnsi="宋体" w:cs="宋体"/>
                <w:color w:val="auto"/>
                <w:sz w:val="24"/>
                <w:highlight w:val="none"/>
              </w:rPr>
            </w:pPr>
            <w:r>
              <w:rPr>
                <w:rFonts w:hint="eastAsia" w:ascii="宋体" w:hAnsi="宋体" w:cs="宋体"/>
                <w:color w:val="auto"/>
                <w:sz w:val="24"/>
                <w:highlight w:val="none"/>
              </w:rPr>
              <w:t xml:space="preserve">满足招标文件《项目要求》“人员、设备（车辆）配置要求”中</w:t>
            </w:r>
            <w:r>
              <w:rPr>
                <w:rFonts w:hint="eastAsia" w:ascii="宋体" w:hAnsi="宋体" w:cs="宋体"/>
                <w:color w:val="auto"/>
                <w:sz w:val="24"/>
                <w:highlight w:val="none"/>
                <w:lang w:eastAsia="zh-CN"/>
              </w:rPr>
              <w:t xml:space="preserve">督导员</w:t>
            </w:r>
            <w:r>
              <w:rPr>
                <w:rFonts w:hint="eastAsia" w:ascii="宋体" w:hAnsi="宋体" w:cs="宋体"/>
                <w:color w:val="auto"/>
                <w:sz w:val="24"/>
                <w:highlight w:val="none"/>
              </w:rPr>
              <w:t xml:space="preserve">增加4%（不足1%的部分不计），得5分；增加6%（不足1%的部分不计），得10分，最高得10分，以承诺书为准。</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ascii="宋体" w:hAnsi="宋体" w:cs="宋体"/>
                <w:color w:val="auto"/>
                <w:sz w:val="24"/>
                <w:highlight w:val="none"/>
              </w:rPr>
            </w:pPr>
            <w:r>
              <w:rPr>
                <w:rFonts w:ascii="宋体" w:hAnsi="宋体" w:cs="宋体"/>
                <w:color w:val="auto"/>
                <w:sz w:val="24"/>
                <w:highlight w:val="none"/>
              </w:rPr>
            </w:r>
            <w:r/>
          </w:p>
        </w:tc>
        <w:tc>
          <w:tcPr>
            <w:tcW w:w="1318" w:type="dxa"/>
            <w:vAlign w:val="center"/>
            <w:textDirection w:val="lrTb"/>
            <w:noWrap w:val="false"/>
          </w:tcPr>
          <w:p>
            <w:pPr>
              <w:jc w:val="cente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投标人业绩</w:t>
            </w:r>
            <w:r/>
          </w:p>
          <w:p>
            <w:pPr>
              <w:jc w:val="cente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tcW w:w="7398" w:type="dxa"/>
            <w:vAlign w:val="center"/>
            <w:textDirection w:val="lrTb"/>
            <w:noWrap w:val="false"/>
          </w:tcPr>
          <w:p>
            <w:pPr>
              <w:jc w:val="left"/>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投标人提供自202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年1月1日以来合同服务内容中包含</w:t>
            </w:r>
            <w:r>
              <w:rPr>
                <w:rFonts w:hint="eastAsia" w:ascii="宋体" w:hAnsi="宋体" w:cs="宋体"/>
                <w:color w:val="auto"/>
                <w:sz w:val="24"/>
                <w:highlight w:val="none"/>
              </w:rPr>
              <w:t xml:space="preserve">垃圾分类服务相关内容或道路（或居民小区）保洁服务内容</w:t>
            </w:r>
            <w:r>
              <w:rPr>
                <w:rFonts w:hint="eastAsia" w:ascii="宋体" w:hAnsi="宋体" w:cs="宋体"/>
                <w:color w:val="auto"/>
                <w:sz w:val="24"/>
                <w:highlight w:val="none"/>
              </w:rPr>
              <w:t xml:space="preserve">的合同及中标通知书，每提供一份得2分；最高得4分，未提供的不得分。</w:t>
            </w:r>
            <w:r/>
          </w:p>
        </w:tc>
      </w:tr>
      <w:tr>
        <w:trPr>
          <w:jc w:val="center"/>
          <w:trHeight w:val="1395"/>
        </w:trPr>
        <w:tc>
          <w:tcPr>
            <w:tcBorders>
              <w:left w:val="single" w:color="auto" w:sz="4" w:space="0"/>
            </w:tcBorders>
            <w:tcW w:w="1274" w:type="dxa"/>
            <w:vAlign w:val="center"/>
            <w:vMerge w:val="restart"/>
            <w:textDirection w:val="lrTb"/>
            <w:noWrap w:val="false"/>
          </w:tcPr>
          <w:p>
            <w:pPr>
              <w:jc w:val="center"/>
              <w:pageBreakBefore w:val="0"/>
              <w:spacing w:line="24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技术部分（70分）</w:t>
            </w:r>
            <w:r/>
          </w:p>
        </w:tc>
        <w:tc>
          <w:tcPr>
            <w:tcW w:w="1318" w:type="dxa"/>
            <w:vAlign w:val="center"/>
            <w:textDirection w:val="lrTb"/>
            <w:noWrap w:val="false"/>
          </w:tcPr>
          <w:p>
            <w:pPr>
              <w:jc w:val="center"/>
              <w:pageBreakBefore w:val="0"/>
              <w:spacing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信息化平台建设（6分）</w:t>
            </w:r>
            <w:r/>
          </w:p>
        </w:tc>
        <w:tc>
          <w:tcPr>
            <w:tcW w:w="7398" w:type="dxa"/>
            <w:vAlign w:val="center"/>
            <w:textDirection w:val="lrTb"/>
            <w:noWrap w:val="false"/>
          </w:tcPr>
          <w:p>
            <w:pP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信息化平台建设和管理运营方案进行评分。包括系统平台设计制定开发、运维、数据管理等。</w:t>
            </w:r>
            <w:r/>
          </w:p>
          <w:p>
            <w:pP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(1)建设完善、全面，运营方案合理可行的得6分:</w:t>
            </w:r>
            <w:r/>
          </w:p>
          <w:p>
            <w:pP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(2)建设较完善、全面，运营方案较合理可行的得4分;</w:t>
            </w:r>
            <w:r/>
          </w:p>
          <w:p>
            <w:pP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(3)建设完善性一般，运营方案合理可行性一般的得2分:</w:t>
            </w:r>
            <w:r/>
          </w:p>
          <w:p>
            <w:pP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(4)未提供不得分</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1318" w:type="dxa"/>
            <w:vAlign w:val="center"/>
            <w:textDirection w:val="lrTb"/>
            <w:noWrap w:val="false"/>
          </w:tcPr>
          <w:p>
            <w:pPr>
              <w:jc w:val="cente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项目管理方案</w:t>
            </w:r>
            <w:r/>
          </w:p>
          <w:p>
            <w:pPr>
              <w:jc w:val="center"/>
              <w:pageBreakBefore w:val="0"/>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W w:w="7398" w:type="dxa"/>
            <w:vAlign w:val="center"/>
            <w:textDirection w:val="lrTb"/>
            <w:noWrap w:val="false"/>
          </w:tcPr>
          <w:p>
            <w:pPr>
              <w:pStyle w:val="878"/>
              <w:pageBreakBefore w:val="0"/>
              <w:spacing w:line="240" w:lineRule="auto"/>
              <w:rPr>
                <w:rFonts w:hint="eastAsia" w:ascii="宋体" w:hAnsi="宋体" w:eastAsia="宋体" w:cs="Times New Roman"/>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rPr>
              <w:t xml:space="preserve">提供本项目组织架构，合理的日常管理制度及各岗位作业规范，根据投标人提供的整体方案的详实、全面性，针对性进行打分：</w:t>
            </w:r>
            <w:r/>
          </w:p>
          <w:p>
            <w:pPr>
              <w:pStyle w:val="878"/>
              <w:pageBreakBefore w:val="0"/>
              <w:spacing w:line="240" w:lineRule="auto"/>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全面性(</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分)：全面具体详实得</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分；基本具备得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分；不全面得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分；没有不得分。</w:t>
            </w:r>
            <w:r/>
          </w:p>
          <w:p>
            <w:pPr>
              <w:jc w:val="left"/>
              <w:pageBreakBefore w:val="0"/>
              <w:spacing w:line="240" w:lineRule="auto"/>
              <w:widowControl/>
              <w:rPr>
                <w:rFonts w:hint="eastAsia" w:ascii="宋体" w:hAnsi="宋体" w:cs="宋体"/>
                <w:color w:val="auto"/>
                <w:sz w:val="24"/>
                <w:highlight w:val="none"/>
              </w:rPr>
            </w:pPr>
            <w:r>
              <w:rPr>
                <w:rFonts w:hint="eastAsia" w:ascii="宋体" w:hAnsi="宋体" w:eastAsia="宋体" w:cs="Times New Roman"/>
                <w:color w:val="auto"/>
                <w:sz w:val="24"/>
                <w:highlight w:val="none"/>
                <w:lang w:val="en-US" w:eastAsia="zh-CN"/>
              </w:rPr>
              <w:t xml:space="preserve">针对性(</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分)：针对性强得</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分；针对性</w:t>
            </w:r>
            <w:r>
              <w:rPr>
                <w:rFonts w:hint="eastAsia" w:ascii="宋体" w:hAnsi="宋体" w:cs="Times New Roman"/>
                <w:color w:val="auto"/>
                <w:sz w:val="24"/>
                <w:highlight w:val="none"/>
                <w:lang w:val="en-US" w:eastAsia="zh-CN"/>
              </w:rPr>
              <w:t xml:space="preserve">较</w:t>
            </w:r>
            <w:r>
              <w:rPr>
                <w:rFonts w:hint="eastAsia" w:ascii="宋体" w:hAnsi="宋体" w:eastAsia="宋体" w:cs="Times New Roman"/>
                <w:color w:val="auto"/>
                <w:sz w:val="24"/>
                <w:highlight w:val="none"/>
                <w:lang w:val="en-US" w:eastAsia="zh-CN"/>
              </w:rPr>
              <w:t xml:space="preserve">强得2分；针对性不强得1分；没有不得分。</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318" w:type="dxa"/>
            <w:vAlign w:val="center"/>
            <w:textDirection w:val="lrTb"/>
            <w:noWrap w:val="false"/>
          </w:tcPr>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对本项目整体分析方案</w:t>
            </w:r>
            <w:r/>
          </w:p>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tcW w:w="7398" w:type="dxa"/>
            <w:vAlign w:val="center"/>
            <w:textDirection w:val="lrTb"/>
            <w:noWrap w:val="false"/>
          </w:tcPr>
          <w:p>
            <w:pPr>
              <w:pStyle w:val="878"/>
              <w:pageBreakBefore w:val="0"/>
              <w:spacing w:line="24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根据本项目特点，对项目实施过程有准确全面的分析、对潜在的、重点的、难点问题提出预见性的分析及提出提高服务质量的专业化建议及应对措施，根据其</w:t>
            </w:r>
            <w:r>
              <w:rPr>
                <w:rFonts w:hint="eastAsia" w:ascii="宋体" w:hAnsi="宋体" w:eastAsia="宋体" w:cs="宋体"/>
                <w:color w:val="auto"/>
                <w:sz w:val="24"/>
                <w:highlight w:val="none"/>
                <w:lang w:val="en-US" w:eastAsia="zh-CN"/>
              </w:rPr>
              <w:t xml:space="preserve">全面</w:t>
            </w:r>
            <w:r>
              <w:rPr>
                <w:rFonts w:hint="eastAsia" w:ascii="宋体" w:hAnsi="宋体" w:eastAsia="宋体" w:cs="宋体"/>
                <w:color w:val="auto"/>
                <w:sz w:val="24"/>
                <w:highlight w:val="none"/>
              </w:rPr>
              <w:t xml:space="preserve">性、</w:t>
            </w:r>
            <w:r>
              <w:rPr>
                <w:rFonts w:hint="eastAsia" w:ascii="宋体" w:hAnsi="宋体" w:eastAsia="宋体" w:cs="宋体"/>
                <w:color w:val="auto"/>
                <w:sz w:val="24"/>
                <w:highlight w:val="none"/>
                <w:lang w:val="en-US" w:eastAsia="zh-CN"/>
              </w:rPr>
              <w:t xml:space="preserve">针对</w:t>
            </w:r>
            <w:r>
              <w:rPr>
                <w:rFonts w:hint="eastAsia" w:ascii="宋体" w:hAnsi="宋体" w:eastAsia="宋体" w:cs="宋体"/>
                <w:color w:val="auto"/>
                <w:sz w:val="24"/>
                <w:highlight w:val="none"/>
              </w:rPr>
              <w:t xml:space="preserve">性进行打分</w:t>
            </w:r>
            <w:r>
              <w:rPr>
                <w:rFonts w:hint="eastAsia" w:ascii="宋体" w:hAnsi="宋体" w:eastAsia="宋体" w:cs="宋体"/>
                <w:color w:val="auto"/>
                <w:sz w:val="24"/>
                <w:highlight w:val="none"/>
                <w:lang w:eastAsia="zh-CN"/>
              </w:rPr>
              <w:t xml:space="preserve">：</w:t>
            </w:r>
            <w:r/>
          </w:p>
          <w:p>
            <w:pPr>
              <w:pStyle w:val="878"/>
              <w:pageBreakBefore w:val="0"/>
              <w:spacing w:line="240" w:lineRule="auto"/>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全面性(</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分)：全面具体详实得</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分；基本具备得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分；不全面得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分；没有不得分。</w:t>
            </w:r>
            <w:r/>
          </w:p>
          <w:p>
            <w:pPr>
              <w:pageBreakBefore w:val="0"/>
              <w:spacing w:line="240" w:lineRule="auto"/>
              <w:rPr>
                <w:rFonts w:hint="eastAsia" w:ascii="宋体" w:hAnsi="宋体" w:cs="宋体"/>
                <w:color w:val="auto"/>
                <w:sz w:val="24"/>
                <w:highlight w:val="none"/>
              </w:rPr>
              <w:outlineLvl w:val="0"/>
            </w:pPr>
            <w:r>
              <w:rPr>
                <w:rFonts w:hint="eastAsia" w:ascii="宋体" w:hAnsi="宋体" w:eastAsia="宋体" w:cs="Times New Roman"/>
                <w:color w:val="auto"/>
                <w:sz w:val="24"/>
                <w:highlight w:val="none"/>
                <w:lang w:val="en-US" w:eastAsia="zh-CN"/>
              </w:rPr>
              <w:t xml:space="preserve">针对性(</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分)：针对性强得</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分；针对性</w:t>
            </w:r>
            <w:r>
              <w:rPr>
                <w:rFonts w:hint="eastAsia" w:ascii="宋体" w:hAnsi="宋体" w:cs="Times New Roman"/>
                <w:color w:val="auto"/>
                <w:sz w:val="24"/>
                <w:highlight w:val="none"/>
                <w:lang w:val="en-US" w:eastAsia="zh-CN"/>
              </w:rPr>
              <w:t xml:space="preserve">较</w:t>
            </w:r>
            <w:r>
              <w:rPr>
                <w:rFonts w:hint="eastAsia" w:ascii="宋体" w:hAnsi="宋体" w:eastAsia="宋体" w:cs="Times New Roman"/>
                <w:color w:val="auto"/>
                <w:sz w:val="24"/>
                <w:highlight w:val="none"/>
                <w:lang w:val="en-US" w:eastAsia="zh-CN"/>
              </w:rPr>
              <w:t xml:space="preserve">强得2分；针对性不强得1分；没有不得分。</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318" w:type="dxa"/>
            <w:vAlign w:val="center"/>
            <w:textDirection w:val="lrTb"/>
            <w:noWrap w:val="false"/>
          </w:tcPr>
          <w:p>
            <w:pPr>
              <w:jc w:val="center"/>
              <w:pageBreakBefore w:val="0"/>
              <w:spacing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垃圾分类成效保障措施（7分）</w:t>
            </w:r>
            <w:r/>
          </w:p>
        </w:tc>
        <w:tc>
          <w:tcPr>
            <w:tcW w:w="7398" w:type="dxa"/>
            <w:vAlign w:val="center"/>
            <w:textDirection w:val="lrTb"/>
            <w:noWrap w:val="false"/>
          </w:tcPr>
          <w:p>
            <w:pPr>
              <w:pageBreakBefore w:val="0"/>
              <w:spacing w:line="240" w:lineRule="auto"/>
              <w:rPr>
                <w:rFonts w:hint="eastAsia" w:ascii="宋体" w:hAnsi="宋体" w:cs="Times New Roman"/>
                <w:color w:val="auto"/>
                <w:sz w:val="24"/>
                <w:highlight w:val="none"/>
                <w:lang w:val="en-US" w:eastAsia="zh-CN"/>
              </w:rPr>
              <w:outlineLvl w:val="0"/>
            </w:pPr>
            <w:r>
              <w:rPr>
                <w:rFonts w:hint="eastAsia" w:ascii="宋体" w:hAnsi="宋体" w:cs="Times New Roman"/>
                <w:color w:val="auto"/>
                <w:sz w:val="24"/>
                <w:highlight w:val="none"/>
                <w:lang w:val="en-US" w:eastAsia="zh-CN"/>
              </w:rPr>
              <w:t xml:space="preserve">生活垃圾收集点、日常产出厨余垃圾、可回收物应达到市级规定的分出比例，其他垃圾不得混收混放，不得超出市级规定的比例</w:t>
            </w:r>
            <w:r/>
          </w:p>
          <w:p>
            <w:pPr>
              <w:pStyle w:val="878"/>
              <w:pageBreakBefore w:val="0"/>
              <w:spacing w:line="240" w:lineRule="auto"/>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全面性(</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分)：全面具体详实得</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分；基本具备得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分；不全面得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分；没有不得分。</w:t>
            </w:r>
            <w:r/>
          </w:p>
          <w:p>
            <w:pPr>
              <w:pStyle w:val="859"/>
              <w:pageBreakBefore w:val="0"/>
              <w:spacing w:line="240" w:lineRule="auto"/>
              <w:rPr>
                <w:rFonts w:hint="default"/>
                <w:color w:val="auto"/>
                <w:highlight w:val="none"/>
                <w:lang w:val="en-US" w:eastAsia="zh-CN"/>
              </w:rPr>
            </w:pPr>
            <w:r>
              <w:rPr>
                <w:rFonts w:hint="eastAsia" w:ascii="宋体" w:hAnsi="宋体" w:eastAsia="宋体" w:cs="Times New Roman"/>
                <w:color w:val="auto"/>
                <w:sz w:val="24"/>
                <w:highlight w:val="none"/>
                <w:lang w:val="en-US" w:eastAsia="zh-CN"/>
              </w:rPr>
              <w:t xml:space="preserve">针对性(</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分)：针对性强得</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分；针对性</w:t>
            </w:r>
            <w:r>
              <w:rPr>
                <w:rFonts w:hint="eastAsia" w:ascii="宋体" w:hAnsi="宋体" w:cs="Times New Roman"/>
                <w:color w:val="auto"/>
                <w:sz w:val="24"/>
                <w:highlight w:val="none"/>
                <w:lang w:val="en-US" w:eastAsia="zh-CN"/>
              </w:rPr>
              <w:t xml:space="preserve">较</w:t>
            </w:r>
            <w:r>
              <w:rPr>
                <w:rFonts w:hint="eastAsia" w:ascii="宋体" w:hAnsi="宋体" w:eastAsia="宋体" w:cs="Times New Roman"/>
                <w:color w:val="auto"/>
                <w:sz w:val="24"/>
                <w:highlight w:val="none"/>
                <w:lang w:val="en-US" w:eastAsia="zh-CN"/>
              </w:rPr>
              <w:t xml:space="preserve">强得2分；针对性不强得1分；没有不得分。</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318" w:type="dxa"/>
            <w:vAlign w:val="center"/>
            <w:textDirection w:val="lrTb"/>
            <w:noWrap w:val="false"/>
          </w:tcPr>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收集点运行管理方案</w:t>
            </w:r>
            <w:r/>
          </w:p>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tc>
        <w:tc>
          <w:tcPr>
            <w:tcW w:w="7398" w:type="dxa"/>
            <w:vAlign w:val="center"/>
            <w:textDirection w:val="lrTb"/>
            <w:noWrap w:val="false"/>
          </w:tcPr>
          <w:p>
            <w:pPr>
              <w:pStyle w:val="878"/>
              <w:pageBreakBefore w:val="0"/>
              <w:spacing w:line="240" w:lineRule="auto"/>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提供生活垃圾分类集中收集点日常运行管理方案，包括收集点各时段引导人员安排，设施维护维修、收集点内及周边环境管理、各时段收集点巡查方案等，根据投标人提供的整体方案的全面性、针对性进行打分：</w:t>
            </w:r>
            <w:r/>
          </w:p>
          <w:p>
            <w:pPr>
              <w:pStyle w:val="878"/>
              <w:pageBreakBefore w:val="0"/>
              <w:spacing w:line="240" w:lineRule="auto"/>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全面性(</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分)：全面具体详实得</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分；基本具备得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分；不全面得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分；没有不得分。</w:t>
            </w:r>
            <w:r/>
          </w:p>
          <w:p>
            <w:pPr>
              <w:pageBreakBefore w:val="0"/>
              <w:spacing w:line="240" w:lineRule="auto"/>
              <w:rPr>
                <w:rFonts w:hint="eastAsia" w:ascii="宋体" w:hAnsi="宋体" w:cs="宋体"/>
                <w:color w:val="auto"/>
                <w:sz w:val="24"/>
                <w:highlight w:val="none"/>
              </w:rPr>
              <w:outlineLvl w:val="0"/>
            </w:pPr>
            <w:r>
              <w:rPr>
                <w:rFonts w:hint="eastAsia" w:ascii="宋体" w:hAnsi="宋体" w:eastAsia="宋体" w:cs="Times New Roman"/>
                <w:color w:val="auto"/>
                <w:sz w:val="24"/>
                <w:highlight w:val="none"/>
                <w:lang w:val="en-US" w:eastAsia="zh-CN"/>
              </w:rPr>
              <w:t xml:space="preserve">针对性(</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分)：针对性强得</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分；针对性</w:t>
            </w:r>
            <w:r>
              <w:rPr>
                <w:rFonts w:hint="eastAsia" w:ascii="宋体" w:hAnsi="宋体" w:cs="Times New Roman"/>
                <w:color w:val="auto"/>
                <w:sz w:val="24"/>
                <w:highlight w:val="none"/>
                <w:lang w:val="en-US" w:eastAsia="zh-CN"/>
              </w:rPr>
              <w:t xml:space="preserve">较</w:t>
            </w:r>
            <w:r>
              <w:rPr>
                <w:rFonts w:hint="eastAsia" w:ascii="宋体" w:hAnsi="宋体" w:eastAsia="宋体" w:cs="Times New Roman"/>
                <w:color w:val="auto"/>
                <w:sz w:val="24"/>
                <w:highlight w:val="none"/>
                <w:lang w:val="en-US" w:eastAsia="zh-CN"/>
              </w:rPr>
              <w:t xml:space="preserve">强得2分；针对性不强得1分；没有不得分。</w:t>
            </w:r>
            <w:r/>
          </w:p>
        </w:tc>
      </w:tr>
      <w:tr>
        <w:trPr>
          <w:jc w:val="center"/>
          <w:trHeight w:val="428"/>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318" w:type="dxa"/>
            <w:vAlign w:val="center"/>
            <w:textDirection w:val="lrTb"/>
            <w:noWrap w:val="false"/>
          </w:tcPr>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垃圾分类收运方案</w:t>
            </w:r>
            <w:r/>
          </w:p>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tc>
        <w:tc>
          <w:tcPr>
            <w:tcW w:w="7398" w:type="dxa"/>
            <w:vAlign w:val="center"/>
            <w:textDirection w:val="lrTb"/>
            <w:noWrap w:val="false"/>
          </w:tcPr>
          <w:p>
            <w:pPr>
              <w:pStyle w:val="878"/>
              <w:pageBreakBefore w:val="0"/>
              <w:spacing w:line="240" w:lineRule="auto"/>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提供居民小区生活垃圾前端分类收运方案，包括收运车辆时间、车辆、人员安排，收运管理等内容，</w:t>
            </w:r>
            <w:r>
              <w:rPr>
                <w:rFonts w:hint="eastAsia" w:ascii="宋体" w:hAnsi="宋体" w:eastAsia="宋体" w:cs="Times New Roman"/>
                <w:color w:val="auto"/>
                <w:sz w:val="24"/>
                <w:highlight w:val="none"/>
                <w:lang w:val="en-US" w:eastAsia="zh-CN"/>
              </w:rPr>
              <w:t xml:space="preserve">根据投标人提供整体方案的详实、具体，针对性、可操作性、分类运输车辆标识（符合徐州市垃圾分类视觉识别系统标识）进行打分：</w:t>
            </w:r>
            <w:r/>
          </w:p>
          <w:p>
            <w:pPr>
              <w:pageBreakBefore w:val="0"/>
              <w:spacing w:line="240" w:lineRule="auto"/>
              <w:rPr>
                <w:rFonts w:hint="eastAsia" w:ascii="宋体" w:hAnsi="宋体" w:eastAsia="宋体" w:cs="Times New Roman"/>
                <w:color w:val="auto"/>
                <w:sz w:val="24"/>
                <w:highlight w:val="none"/>
                <w:lang w:val="en-US" w:eastAsia="zh-CN"/>
              </w:rPr>
              <w:outlineLvl w:val="0"/>
            </w:pPr>
            <w:r>
              <w:rPr>
                <w:rFonts w:hint="eastAsia" w:ascii="宋体" w:hAnsi="宋体" w:eastAsia="宋体" w:cs="Times New Roman"/>
                <w:color w:val="auto"/>
                <w:sz w:val="24"/>
                <w:highlight w:val="none"/>
                <w:lang w:val="en-US" w:eastAsia="zh-CN"/>
              </w:rPr>
              <w:t xml:space="preserve">针对性(</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分)：针对性强得</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en-US" w:eastAsia="zh-CN"/>
              </w:rPr>
              <w:t xml:space="preserve">分；针对性</w:t>
            </w:r>
            <w:r>
              <w:rPr>
                <w:rFonts w:hint="eastAsia" w:ascii="宋体" w:hAnsi="宋体" w:cs="Times New Roman"/>
                <w:color w:val="auto"/>
                <w:sz w:val="24"/>
                <w:highlight w:val="none"/>
                <w:lang w:val="en-US" w:eastAsia="zh-CN"/>
              </w:rPr>
              <w:t xml:space="preserve">较</w:t>
            </w:r>
            <w:r>
              <w:rPr>
                <w:rFonts w:hint="eastAsia" w:ascii="宋体" w:hAnsi="宋体" w:eastAsia="宋体" w:cs="Times New Roman"/>
                <w:color w:val="auto"/>
                <w:sz w:val="24"/>
                <w:highlight w:val="none"/>
                <w:lang w:val="en-US" w:eastAsia="zh-CN"/>
              </w:rPr>
              <w:t xml:space="preserve">强得2分；针对性不强得1分；没有不得分。</w:t>
            </w:r>
            <w:r/>
          </w:p>
          <w:p>
            <w:pPr>
              <w:pageBreakBefore w:val="0"/>
              <w:spacing w:line="240" w:lineRule="auto"/>
              <w:rPr>
                <w:rFonts w:hint="eastAsia" w:ascii="宋体" w:hAnsi="宋体" w:cs="宋体"/>
                <w:color w:val="auto"/>
                <w:sz w:val="24"/>
                <w:highlight w:val="none"/>
              </w:rPr>
              <w:outlineLvl w:val="0"/>
            </w:pPr>
            <w:r>
              <w:rPr>
                <w:rFonts w:hint="eastAsia" w:ascii="宋体" w:hAnsi="宋体" w:eastAsia="宋体" w:cs="Times New Roman"/>
                <w:color w:val="auto"/>
                <w:sz w:val="24"/>
                <w:highlight w:val="none"/>
                <w:lang w:val="en-US" w:eastAsia="zh-CN"/>
              </w:rPr>
              <w:t xml:space="preserve">可操作性(</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分)：符合实际切实可行得</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分；操作性一般得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分；可行性欠缺得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分；没有不得分。</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318" w:type="dxa"/>
            <w:vAlign w:val="center"/>
            <w:textDirection w:val="lrTb"/>
            <w:noWrap w:val="false"/>
          </w:tcPr>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人员配置作业要求方案</w:t>
            </w:r>
            <w:r/>
          </w:p>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tcW w:w="7398" w:type="dxa"/>
            <w:vAlign w:val="center"/>
            <w:textDirection w:val="lrTb"/>
            <w:noWrap w:val="false"/>
          </w:tcPr>
          <w:p>
            <w:pPr>
              <w:pStyle w:val="878"/>
              <w:pageBreakBefore w:val="0"/>
              <w:spacing w:line="240" w:lineRule="auto"/>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（1）投标人提供点位</w:t>
            </w:r>
            <w:r>
              <w:rPr>
                <w:rFonts w:hint="eastAsia" w:ascii="宋体" w:hAnsi="宋体" w:cs="宋体"/>
                <w:color w:val="auto"/>
                <w:sz w:val="24"/>
                <w:highlight w:val="none"/>
                <w:lang w:eastAsia="zh-CN"/>
              </w:rPr>
              <w:t xml:space="preserve">督导员</w:t>
            </w:r>
            <w:r>
              <w:rPr>
                <w:rFonts w:hint="eastAsia" w:ascii="宋体" w:hAnsi="宋体" w:cs="宋体"/>
                <w:color w:val="auto"/>
                <w:sz w:val="24"/>
                <w:highlight w:val="none"/>
              </w:rPr>
              <w:t xml:space="preserve">、分类运输员等作业过程方案，</w:t>
            </w:r>
            <w:r>
              <w:rPr>
                <w:rFonts w:hint="eastAsia" w:ascii="宋体" w:hAnsi="宋体" w:eastAsia="宋体" w:cs="Times New Roman"/>
                <w:color w:val="auto"/>
                <w:sz w:val="24"/>
                <w:highlight w:val="none"/>
                <w:lang w:val="en-US" w:eastAsia="zh-CN"/>
              </w:rPr>
              <w:t xml:space="preserve">根据投标人提供的整体方案的全面性、针对性进行打分：</w:t>
            </w:r>
            <w:r/>
          </w:p>
          <w:p>
            <w:pPr>
              <w:pStyle w:val="878"/>
              <w:pageBreakBefore w:val="0"/>
              <w:spacing w:line="240" w:lineRule="auto"/>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全面性(</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分)：全面具体详实得</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分；基本具备得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分；不全面得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分；没有不得分。</w:t>
            </w:r>
            <w:r/>
          </w:p>
          <w:p>
            <w:pPr>
              <w:pageBreakBefore w:val="0"/>
              <w:spacing w:line="240" w:lineRule="auto"/>
              <w:rPr>
                <w:rFonts w:ascii="宋体" w:hAnsi="宋体" w:cs="宋体"/>
                <w:color w:val="auto"/>
                <w:sz w:val="24"/>
                <w:highlight w:val="none"/>
              </w:rPr>
              <w:outlineLvl w:val="0"/>
            </w:pPr>
            <w:r>
              <w:rPr>
                <w:rFonts w:hint="eastAsia" w:ascii="宋体" w:hAnsi="宋体" w:eastAsia="宋体" w:cs="Times New Roman"/>
                <w:color w:val="auto"/>
                <w:sz w:val="24"/>
                <w:highlight w:val="none"/>
                <w:lang w:val="en-US" w:eastAsia="zh-CN"/>
              </w:rPr>
              <w:t xml:space="preserve">针对性(</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分)：针对性强得</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分；针对性</w:t>
            </w:r>
            <w:r>
              <w:rPr>
                <w:rFonts w:hint="eastAsia" w:ascii="宋体" w:hAnsi="宋体" w:cs="Times New Roman"/>
                <w:color w:val="auto"/>
                <w:sz w:val="24"/>
                <w:highlight w:val="none"/>
                <w:lang w:val="en-US" w:eastAsia="zh-CN"/>
              </w:rPr>
              <w:t xml:space="preserve">较</w:t>
            </w:r>
            <w:r>
              <w:rPr>
                <w:rFonts w:hint="eastAsia" w:ascii="宋体" w:hAnsi="宋体" w:eastAsia="宋体" w:cs="Times New Roman"/>
                <w:color w:val="auto"/>
                <w:sz w:val="24"/>
                <w:highlight w:val="none"/>
                <w:lang w:val="en-US" w:eastAsia="zh-CN"/>
              </w:rPr>
              <w:t xml:space="preserve">强得2分；针对性不强得1分；没有不得分。</w:t>
            </w:r>
            <w:r/>
          </w:p>
          <w:p>
            <w:pPr>
              <w:pStyle w:val="878"/>
              <w:pageBreakBefore w:val="0"/>
              <w:spacing w:line="240" w:lineRule="auto"/>
              <w:rPr>
                <w:rFonts w:hint="eastAsia" w:ascii="宋体" w:hAnsi="宋体" w:eastAsia="宋体" w:cs="Times New Roman"/>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（2）投标人有作业丰富经验的团队，能够提供有效的现场作业图片及材料证明（带有地址水印的现场作业照片、团队的保险证明）；根据</w:t>
            </w:r>
            <w:r>
              <w:rPr>
                <w:rFonts w:hint="eastAsia" w:ascii="宋体" w:hAnsi="宋体" w:eastAsia="宋体" w:cs="Times New Roman"/>
                <w:color w:val="auto"/>
                <w:sz w:val="24"/>
                <w:szCs w:val="22"/>
                <w:highlight w:val="none"/>
              </w:rPr>
              <w:t xml:space="preserve">投标人提供的整体方案</w:t>
            </w:r>
            <w:r>
              <w:rPr>
                <w:rFonts w:hint="eastAsia" w:ascii="宋体" w:hAnsi="宋体" w:eastAsia="宋体" w:cs="Times New Roman"/>
                <w:color w:val="auto"/>
                <w:sz w:val="24"/>
                <w:szCs w:val="22"/>
                <w:highlight w:val="none"/>
                <w:lang w:eastAsia="zh-CN"/>
              </w:rPr>
              <w:t xml:space="preserve">的</w:t>
            </w:r>
            <w:r>
              <w:rPr>
                <w:rFonts w:hint="eastAsia" w:ascii="宋体" w:hAnsi="宋体" w:eastAsia="宋体" w:cs="Times New Roman"/>
                <w:color w:val="auto"/>
                <w:sz w:val="24"/>
                <w:szCs w:val="22"/>
                <w:highlight w:val="none"/>
              </w:rPr>
              <w:t xml:space="preserve">针对性进行打分：</w:t>
            </w:r>
            <w:r/>
          </w:p>
          <w:p>
            <w:pPr>
              <w:pageBreakBefore w:val="0"/>
              <w:spacing w:line="240" w:lineRule="auto"/>
              <w:rPr>
                <w:rFonts w:hint="eastAsia" w:ascii="宋体" w:hAnsi="宋体" w:cs="宋体"/>
                <w:color w:val="auto"/>
                <w:sz w:val="24"/>
                <w:highlight w:val="none"/>
              </w:rPr>
              <w:outlineLvl w:val="0"/>
            </w:pPr>
            <w:r>
              <w:rPr>
                <w:rFonts w:hint="eastAsia" w:ascii="宋体" w:hAnsi="宋体" w:eastAsia="宋体" w:cs="Times New Roman"/>
                <w:color w:val="auto"/>
                <w:sz w:val="24"/>
                <w:szCs w:val="22"/>
                <w:highlight w:val="none"/>
                <w:lang w:val="en-US" w:eastAsia="zh-CN"/>
              </w:rPr>
              <w:t xml:space="preserve">方案明确、针对性强得2分；方案欠缺、</w:t>
            </w:r>
            <w:r>
              <w:rPr>
                <w:rFonts w:hint="eastAsia" w:ascii="宋体" w:hAnsi="宋体" w:eastAsia="宋体" w:cs="Times New Roman"/>
                <w:color w:val="auto"/>
                <w:sz w:val="24"/>
                <w:highlight w:val="none"/>
                <w:lang w:val="en-US" w:eastAsia="zh-CN"/>
              </w:rPr>
              <w:t xml:space="preserve">针对性不强得1分</w:t>
            </w:r>
            <w:r>
              <w:rPr>
                <w:rFonts w:hint="eastAsia" w:ascii="宋体" w:hAnsi="宋体" w:eastAsia="宋体" w:cs="Times New Roman"/>
                <w:color w:val="auto"/>
                <w:sz w:val="24"/>
                <w:szCs w:val="22"/>
                <w:highlight w:val="none"/>
                <w:lang w:val="en-US" w:eastAsia="zh-CN"/>
              </w:rPr>
              <w:t xml:space="preserve">；不提供不得分。</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318" w:type="dxa"/>
            <w:vAlign w:val="center"/>
            <w:textDirection w:val="lrTb"/>
            <w:noWrap w:val="false"/>
          </w:tcPr>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人员培训、考核等管理方案</w:t>
            </w:r>
            <w:r/>
          </w:p>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tcW w:w="7398" w:type="dxa"/>
            <w:vAlign w:val="center"/>
            <w:textDirection w:val="lrTb"/>
            <w:noWrap w:val="false"/>
          </w:tcPr>
          <w:p>
            <w:pPr>
              <w:pStyle w:val="878"/>
              <w:pageBreakBefore w:val="0"/>
              <w:spacing w:line="240" w:lineRule="auto"/>
              <w:rPr>
                <w:rFonts w:hint="eastAsia" w:ascii="宋体" w:hAnsi="宋体" w:eastAsia="宋体" w:cs="Times New Roman"/>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2"/>
                <w:highlight w:val="none"/>
              </w:rPr>
              <w:t xml:space="preserve">针对本项目的内部人员培训、考核管理方案（含岗位责任制度、考核制度、统一着装、文明上岗等），根据投标人提供的整体方案的考核工种、考核标准，程序规范，描述内容的全面性、</w:t>
            </w:r>
            <w:r>
              <w:rPr>
                <w:rFonts w:hint="eastAsia" w:ascii="宋体" w:hAnsi="宋体" w:eastAsia="宋体" w:cs="Times New Roman"/>
                <w:color w:val="auto"/>
                <w:sz w:val="24"/>
                <w:szCs w:val="22"/>
                <w:highlight w:val="none"/>
                <w:lang w:val="en-US" w:eastAsia="zh-CN"/>
              </w:rPr>
              <w:t xml:space="preserve">操作</w:t>
            </w:r>
            <w:r>
              <w:rPr>
                <w:rFonts w:hint="eastAsia" w:ascii="宋体" w:hAnsi="宋体" w:eastAsia="宋体" w:cs="Times New Roman"/>
                <w:color w:val="auto"/>
                <w:sz w:val="24"/>
                <w:szCs w:val="22"/>
                <w:highlight w:val="none"/>
              </w:rPr>
              <w:t xml:space="preserve">性进行打分：</w:t>
            </w:r>
            <w:r/>
          </w:p>
          <w:p>
            <w:pPr>
              <w:pStyle w:val="878"/>
              <w:pageBreakBefore w:val="0"/>
              <w:spacing w:line="240" w:lineRule="auto"/>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全面性(</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分)：全面具体详实得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分；基本具备得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分；不全面得</w:t>
            </w:r>
            <w:r>
              <w:rPr>
                <w:rFonts w:hint="eastAsia" w:ascii="宋体" w:hAnsi="宋体" w:cs="Times New Roman"/>
                <w:color w:val="auto"/>
                <w:sz w:val="24"/>
                <w:highlight w:val="none"/>
                <w:lang w:val="en-US" w:eastAsia="zh-CN"/>
              </w:rPr>
              <w:t xml:space="preserve">0.5</w:t>
            </w:r>
            <w:r>
              <w:rPr>
                <w:rFonts w:hint="eastAsia" w:ascii="宋体" w:hAnsi="宋体" w:eastAsia="宋体" w:cs="Times New Roman"/>
                <w:color w:val="auto"/>
                <w:sz w:val="24"/>
                <w:highlight w:val="none"/>
                <w:lang w:val="en-US" w:eastAsia="zh-CN"/>
              </w:rPr>
              <w:t xml:space="preserve">分；没有不得分。</w:t>
            </w:r>
            <w:r/>
          </w:p>
          <w:p>
            <w:pPr>
              <w:pageBreakBefore w:val="0"/>
              <w:spacing w:line="240" w:lineRule="auto"/>
              <w:rPr>
                <w:rFonts w:hint="eastAsia" w:ascii="宋体" w:hAnsi="宋体" w:cs="宋体"/>
                <w:color w:val="auto"/>
                <w:sz w:val="24"/>
                <w:highlight w:val="none"/>
              </w:rPr>
              <w:outlineLvl w:val="0"/>
            </w:pPr>
            <w:r>
              <w:rPr>
                <w:rFonts w:hint="eastAsia" w:ascii="宋体" w:hAnsi="宋体" w:eastAsia="宋体" w:cs="Times New Roman"/>
                <w:color w:val="auto"/>
                <w:sz w:val="24"/>
                <w:highlight w:val="none"/>
                <w:lang w:val="en-US" w:eastAsia="zh-CN"/>
              </w:rPr>
              <w:t xml:space="preserve">可操作性(</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分)：针对性强得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分；针对性</w:t>
            </w:r>
            <w:r>
              <w:rPr>
                <w:rFonts w:hint="eastAsia" w:ascii="宋体" w:hAnsi="宋体" w:cs="Times New Roman"/>
                <w:color w:val="auto"/>
                <w:sz w:val="24"/>
                <w:highlight w:val="none"/>
                <w:lang w:val="en-US" w:eastAsia="zh-CN"/>
              </w:rPr>
              <w:t xml:space="preserve">较</w:t>
            </w:r>
            <w:r>
              <w:rPr>
                <w:rFonts w:hint="eastAsia" w:ascii="宋体" w:hAnsi="宋体" w:eastAsia="宋体" w:cs="Times New Roman"/>
                <w:color w:val="auto"/>
                <w:sz w:val="24"/>
                <w:highlight w:val="none"/>
                <w:lang w:val="en-US" w:eastAsia="zh-CN"/>
              </w:rPr>
              <w:t xml:space="preserve">强得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分；针对性不强得</w:t>
            </w:r>
            <w:r>
              <w:rPr>
                <w:rFonts w:hint="eastAsia" w:ascii="宋体" w:hAnsi="宋体" w:cs="Times New Roman"/>
                <w:color w:val="auto"/>
                <w:sz w:val="24"/>
                <w:highlight w:val="none"/>
                <w:lang w:val="en-US" w:eastAsia="zh-CN"/>
              </w:rPr>
              <w:t xml:space="preserve">0.5</w:t>
            </w:r>
            <w:r>
              <w:rPr>
                <w:rFonts w:hint="eastAsia" w:ascii="宋体" w:hAnsi="宋体" w:eastAsia="宋体" w:cs="Times New Roman"/>
                <w:color w:val="auto"/>
                <w:sz w:val="24"/>
                <w:highlight w:val="none"/>
                <w:lang w:val="en-US" w:eastAsia="zh-CN"/>
              </w:rPr>
              <w:t xml:space="preserve">分；没有不得分。</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318" w:type="dxa"/>
            <w:vAlign w:val="center"/>
            <w:textDirection w:val="lrTb"/>
            <w:noWrap w:val="false"/>
          </w:tcPr>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可回收物回收利用体系(8分)</w:t>
            </w:r>
            <w:r/>
          </w:p>
        </w:tc>
        <w:tc>
          <w:tcPr>
            <w:tcW w:w="7398" w:type="dxa"/>
            <w:vAlign w:val="center"/>
            <w:textDirection w:val="lrTb"/>
            <w:noWrap w:val="false"/>
          </w:tcPr>
          <w:p>
            <w:pPr>
              <w:pageBreakBefore w:val="0"/>
              <w:spacing w:line="24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前端收集、中端运输、末端分拣、信息化运营管理等内容覆盖全面科学且合理的得8分:有较完整的涉及、具备一定科学性与合理性性的得6分;有基本设计、科学性合理性一般的得3分，描述较差的得1分;未提供的得0分。</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318" w:type="dxa"/>
            <w:vAlign w:val="center"/>
            <w:textDirection w:val="lrTb"/>
            <w:noWrap w:val="false"/>
          </w:tcPr>
          <w:p>
            <w:pPr>
              <w:jc w:val="center"/>
              <w:pageBreakBefore w:val="0"/>
              <w:spacing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新能源车辆配备（3分）</w:t>
            </w:r>
            <w:r/>
          </w:p>
        </w:tc>
        <w:tc>
          <w:tcPr>
            <w:tcW w:w="7398" w:type="dxa"/>
            <w:vAlign w:val="center"/>
            <w:textDirection w:val="lrTb"/>
            <w:noWrap w:val="false"/>
          </w:tcPr>
          <w:p>
            <w:pPr>
              <w:pageBreakBefore w:val="0"/>
              <w:spacing w:line="240" w:lineRule="auto"/>
              <w:rPr>
                <w:rFonts w:hint="eastAsia" w:ascii="宋体" w:hAnsi="宋体" w:cs="宋体"/>
                <w:color w:val="auto"/>
                <w:sz w:val="24"/>
                <w:highlight w:val="none"/>
                <w:lang w:val="en-US" w:eastAsia="zh-CN"/>
              </w:rPr>
              <w:outlineLvl w:val="0"/>
            </w:pPr>
            <w:r>
              <w:rPr>
                <w:rFonts w:hint="eastAsia" w:ascii="宋体" w:hAnsi="宋体" w:cs="宋体"/>
                <w:color w:val="auto"/>
                <w:sz w:val="24"/>
                <w:highlight w:val="none"/>
                <w:lang w:val="en-US" w:eastAsia="zh-CN"/>
              </w:rPr>
              <w:t xml:space="preserve">按照市级规定的标准，环卫作业、垃圾清运车辆高于50%（含50%）的电动化替代，得3分。</w:t>
            </w:r>
            <w:r/>
          </w:p>
          <w:p>
            <w:pPr>
              <w:pageBreakBefore w:val="0"/>
              <w:spacing w:line="240" w:lineRule="auto"/>
              <w:rPr>
                <w:rFonts w:hint="eastAsia" w:ascii="宋体" w:hAnsi="宋体" w:cs="宋体"/>
                <w:color w:val="auto"/>
                <w:sz w:val="24"/>
                <w:highlight w:val="none"/>
                <w:lang w:val="en-US" w:eastAsia="zh-CN"/>
              </w:rPr>
              <w:outlineLvl w:val="0"/>
            </w:pPr>
            <w:r>
              <w:rPr>
                <w:rFonts w:hint="eastAsia" w:ascii="宋体" w:hAnsi="宋体" w:cs="宋体"/>
                <w:color w:val="auto"/>
                <w:sz w:val="24"/>
                <w:highlight w:val="none"/>
                <w:lang w:val="en-US" w:eastAsia="zh-CN"/>
              </w:rPr>
              <w:t xml:space="preserve">按照市级规定的标准，环卫作业、垃圾清运车辆30%—50%的电动化替代，得2分。</w:t>
            </w:r>
            <w:r/>
          </w:p>
          <w:p>
            <w:pPr>
              <w:pageBreakBefore w:val="0"/>
              <w:spacing w:line="240" w:lineRule="auto"/>
              <w:rPr>
                <w:rFonts w:hint="eastAsia" w:ascii="宋体" w:hAnsi="宋体" w:cs="宋体"/>
                <w:color w:val="auto"/>
                <w:sz w:val="24"/>
                <w:highlight w:val="none"/>
                <w:lang w:val="en-US" w:eastAsia="zh-CN"/>
              </w:rPr>
              <w:outlineLvl w:val="0"/>
            </w:pPr>
            <w:r>
              <w:rPr>
                <w:rFonts w:hint="eastAsia" w:ascii="宋体" w:hAnsi="宋体" w:cs="宋体"/>
                <w:color w:val="auto"/>
                <w:sz w:val="24"/>
                <w:highlight w:val="none"/>
                <w:lang w:val="en-US" w:eastAsia="zh-CN"/>
              </w:rPr>
              <w:t xml:space="preserve">按照市级规定的标准，环卫作业、垃圾清运车辆低于30%的电动化替代，得1分。</w:t>
            </w:r>
            <w:r/>
          </w:p>
          <w:p>
            <w:pPr>
              <w:pStyle w:val="859"/>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注：新能源车辆（含厨余垃圾、可回收垃圾、其他垃圾）：如为投标人所有，投标文件中需提供</w:t>
            </w:r>
            <w:r>
              <w:rPr>
                <w:rFonts w:hint="eastAsia" w:ascii="宋体" w:hAnsi="宋体" w:eastAsia="宋体" w:cs="宋体"/>
                <w:color w:val="auto"/>
                <w:sz w:val="24"/>
                <w:szCs w:val="24"/>
                <w:highlight w:val="none"/>
                <w:lang w:val="en-US" w:eastAsia="zh-CN" w:bidi="ar-SA"/>
              </w:rPr>
              <w:t xml:space="preserve">车辆的</w:t>
            </w:r>
            <w:r>
              <w:rPr>
                <w:rFonts w:hint="default" w:ascii="宋体" w:hAnsi="宋体" w:eastAsia="宋体" w:cs="宋体"/>
                <w:color w:val="auto"/>
                <w:sz w:val="24"/>
                <w:szCs w:val="24"/>
                <w:highlight w:val="none"/>
                <w:lang w:val="en-US" w:eastAsia="zh-CN" w:bidi="ar-SA"/>
              </w:rPr>
              <w:t xml:space="preserve">发票（或权属证明）扫描件；如为租赁，提供租赁协议</w:t>
            </w:r>
            <w:r>
              <w:rPr>
                <w:rFonts w:hint="eastAsia" w:ascii="宋体" w:hAnsi="宋体" w:eastAsia="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SA"/>
              </w:rPr>
              <w:t xml:space="preserve">扫描件。</w:t>
            </w:r>
            <w:r/>
          </w:p>
          <w:p>
            <w:pPr>
              <w:rPr>
                <w:rFonts w:hint="default"/>
                <w:color w:val="auto"/>
                <w:highlight w:val="none"/>
                <w:lang w:val="en-US" w:eastAsia="zh-CN"/>
              </w:rPr>
            </w:pPr>
            <w:r>
              <w:rPr>
                <w:rFonts w:hint="default"/>
                <w:color w:val="auto"/>
                <w:highlight w:val="none"/>
                <w:lang w:val="en-US" w:eastAsia="zh-CN"/>
              </w:rPr>
              <w:t xml:space="preserve">说明：</w:t>
            </w:r>
            <w:r>
              <w:rPr>
                <w:rFonts w:hint="default" w:ascii="宋体" w:hAnsi="宋体" w:eastAsia="宋体" w:cs="宋体"/>
                <w:color w:val="auto"/>
                <w:sz w:val="24"/>
                <w:szCs w:val="24"/>
                <w:highlight w:val="none"/>
                <w:lang w:val="en-US" w:eastAsia="zh-CN" w:bidi="ar-SA"/>
              </w:rPr>
              <w:t xml:space="preserve">权属证明</w:t>
            </w:r>
            <w:r>
              <w:rPr>
                <w:rFonts w:hint="eastAsia" w:ascii="宋体" w:hAnsi="宋体" w:cs="宋体"/>
                <w:color w:val="auto"/>
                <w:sz w:val="24"/>
                <w:szCs w:val="24"/>
                <w:highlight w:val="none"/>
                <w:lang w:val="en-US" w:eastAsia="zh-CN" w:bidi="ar-SA"/>
              </w:rPr>
              <w:t xml:space="preserve">至少包括：</w:t>
            </w:r>
            <w:r>
              <w:rPr>
                <w:rFonts w:hint="default"/>
                <w:color w:val="auto"/>
                <w:highlight w:val="none"/>
                <w:lang w:val="en-US" w:eastAsia="zh-CN"/>
              </w:rPr>
              <w:t xml:space="preserve">销售发票、机动车行驶证。</w:t>
            </w:r>
            <w:r/>
          </w:p>
          <w:p>
            <w:pPr>
              <w:pStyle w:val="859"/>
              <w:rPr>
                <w:rFonts w:hint="default"/>
                <w:color w:val="auto"/>
                <w:highlight w:val="none"/>
                <w:lang w:val="en-US" w:eastAsia="zh-CN"/>
              </w:rPr>
            </w:pPr>
            <w:r>
              <w:rPr>
                <w:rFonts w:hint="eastAsia" w:ascii="宋体" w:hAnsi="宋体" w:eastAsia="宋体" w:cs="宋体"/>
                <w:color w:val="auto"/>
                <w:sz w:val="24"/>
                <w:szCs w:val="24"/>
                <w:highlight w:val="none"/>
                <w:lang w:val="en-US" w:eastAsia="zh-CN" w:bidi="ar-SA"/>
              </w:rPr>
              <w:t xml:space="preserve">投标</w:t>
            </w:r>
            <w:r>
              <w:rPr>
                <w:rFonts w:hint="default" w:ascii="宋体" w:hAnsi="宋体" w:eastAsia="宋体" w:cs="宋体"/>
                <w:color w:val="auto"/>
                <w:sz w:val="24"/>
                <w:szCs w:val="24"/>
                <w:highlight w:val="none"/>
                <w:lang w:val="en-US" w:eastAsia="zh-CN" w:bidi="ar-SA"/>
              </w:rPr>
              <w:t xml:space="preserve">文件中需提供证明材料扫描件并加盖电子签章 </w:t>
            </w:r>
            <w:r/>
          </w:p>
        </w:tc>
      </w:tr>
      <w:tr>
        <w:trPr>
          <w:jc w:val="center"/>
          <w:trHeight w:val="1395"/>
        </w:trPr>
        <w:tc>
          <w:tcPr>
            <w:tcBorders>
              <w:left w:val="single" w:color="auto" w:sz="4" w:space="0"/>
            </w:tcBorders>
            <w:tcW w:w="1274" w:type="dxa"/>
            <w:vAlign w:val="center"/>
            <w:vMerge w:val="continue"/>
            <w:textDirection w:val="lrTb"/>
            <w:noWrap w:val="false"/>
          </w:tcPr>
          <w:p>
            <w:pPr>
              <w:jc w:val="center"/>
              <w:pageBreakBefore w:val="0"/>
              <w:spacing w:line="24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1318" w:type="dxa"/>
            <w:vAlign w:val="center"/>
            <w:textDirection w:val="lrTb"/>
            <w:noWrap w:val="false"/>
          </w:tcPr>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安全文明生产</w:t>
            </w:r>
            <w:r/>
          </w:p>
          <w:p>
            <w:pPr>
              <w:jc w:val="center"/>
              <w:pageBreakBefore w:val="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p>
        </w:tc>
        <w:tc>
          <w:tcPr>
            <w:tcW w:w="7398" w:type="dxa"/>
            <w:vAlign w:val="center"/>
            <w:textDirection w:val="lrTb"/>
            <w:noWrap w:val="false"/>
          </w:tcPr>
          <w:p>
            <w:pPr>
              <w:pStyle w:val="878"/>
              <w:pageBreakBefore w:val="0"/>
              <w:spacing w:line="240" w:lineRule="auto"/>
              <w:rPr>
                <w:rFonts w:hint="eastAsia" w:ascii="宋体" w:hAnsi="宋体" w:eastAsia="宋体" w:cs="Times New Roman"/>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针对本项目的安全文明生产方案进行综合评分，方案应当包括且不限于项目实施过程中的安全生产专班组成、安全防火措施、事故应急处理措施、人员及财产损害应对措施、安全生产培训措施、法务善后措施等，</w:t>
            </w:r>
            <w:r>
              <w:rPr>
                <w:rFonts w:hint="eastAsia" w:ascii="宋体" w:hAnsi="宋体" w:eastAsia="宋体" w:cs="Times New Roman"/>
                <w:color w:val="auto"/>
                <w:sz w:val="24"/>
                <w:szCs w:val="22"/>
                <w:highlight w:val="none"/>
              </w:rPr>
              <w:t xml:space="preserve">根据投标人提供的整体方案的全面性、针对性进行打分：</w:t>
            </w:r>
            <w:r/>
          </w:p>
          <w:p>
            <w:pPr>
              <w:pStyle w:val="878"/>
              <w:pageBreakBefore w:val="0"/>
              <w:spacing w:line="240" w:lineRule="auto"/>
              <w:rPr>
                <w:rFonts w:hint="eastAsia" w:ascii="宋体" w:hAnsi="宋体" w:eastAsia="宋体" w:cs="Times New Roman"/>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highlight w:val="none"/>
                <w:lang w:val="en-US" w:eastAsia="zh-CN"/>
              </w:rPr>
              <w:t xml:space="preserve">全面性(</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分)：全面具体详实得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分；基本具备得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分；不全面得</w:t>
            </w:r>
            <w:r>
              <w:rPr>
                <w:rFonts w:hint="eastAsia" w:ascii="宋体" w:hAnsi="宋体" w:cs="Times New Roman"/>
                <w:color w:val="auto"/>
                <w:sz w:val="24"/>
                <w:highlight w:val="none"/>
                <w:lang w:val="en-US" w:eastAsia="zh-CN"/>
              </w:rPr>
              <w:t xml:space="preserve">0.5</w:t>
            </w:r>
            <w:r>
              <w:rPr>
                <w:rFonts w:hint="eastAsia" w:ascii="宋体" w:hAnsi="宋体" w:eastAsia="宋体" w:cs="Times New Roman"/>
                <w:color w:val="auto"/>
                <w:sz w:val="24"/>
                <w:highlight w:val="none"/>
                <w:lang w:val="en-US" w:eastAsia="zh-CN"/>
              </w:rPr>
              <w:t xml:space="preserve">分；没有不得分。</w:t>
            </w:r>
            <w:r/>
          </w:p>
          <w:p>
            <w:pPr>
              <w:jc w:val="left"/>
              <w:pageBreakBefore w:val="0"/>
              <w:spacing w:line="240" w:lineRule="auto"/>
              <w:widowControl/>
              <w:rPr>
                <w:rFonts w:hint="eastAsia" w:ascii="宋体" w:hAnsi="宋体" w:cs="宋体"/>
                <w:color w:val="auto"/>
                <w:sz w:val="24"/>
                <w:highlight w:val="none"/>
              </w:rPr>
            </w:pPr>
            <w:r>
              <w:rPr>
                <w:rFonts w:hint="eastAsia" w:ascii="宋体" w:hAnsi="宋体" w:eastAsia="宋体" w:cs="Times New Roman"/>
                <w:color w:val="auto"/>
                <w:sz w:val="24"/>
                <w:highlight w:val="none"/>
                <w:lang w:val="en-US" w:eastAsia="zh-CN"/>
              </w:rPr>
              <w:t xml:space="preserve">可操作性(</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分)：针对性强得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en-US" w:eastAsia="zh-CN"/>
              </w:rPr>
              <w:t xml:space="preserve">分；针对性</w:t>
            </w:r>
            <w:r>
              <w:rPr>
                <w:rFonts w:hint="eastAsia" w:ascii="宋体" w:hAnsi="宋体" w:cs="Times New Roman"/>
                <w:color w:val="auto"/>
                <w:sz w:val="24"/>
                <w:highlight w:val="none"/>
                <w:lang w:val="en-US" w:eastAsia="zh-CN"/>
              </w:rPr>
              <w:t xml:space="preserve">较</w:t>
            </w:r>
            <w:r>
              <w:rPr>
                <w:rFonts w:hint="eastAsia" w:ascii="宋体" w:hAnsi="宋体" w:eastAsia="宋体" w:cs="Times New Roman"/>
                <w:color w:val="auto"/>
                <w:sz w:val="24"/>
                <w:highlight w:val="none"/>
                <w:lang w:val="en-US" w:eastAsia="zh-CN"/>
              </w:rPr>
              <w:t xml:space="preserve">强得</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分；针对性不强得</w:t>
            </w:r>
            <w:r>
              <w:rPr>
                <w:rFonts w:hint="eastAsia" w:ascii="宋体" w:hAnsi="宋体" w:cs="Times New Roman"/>
                <w:color w:val="auto"/>
                <w:sz w:val="24"/>
                <w:highlight w:val="none"/>
                <w:lang w:val="en-US" w:eastAsia="zh-CN"/>
              </w:rPr>
              <w:t xml:space="preserve">0.5</w:t>
            </w:r>
            <w:r>
              <w:rPr>
                <w:rFonts w:hint="eastAsia" w:ascii="宋体" w:hAnsi="宋体" w:eastAsia="宋体" w:cs="Times New Roman"/>
                <w:color w:val="auto"/>
                <w:sz w:val="24"/>
                <w:highlight w:val="none"/>
                <w:lang w:val="en-US" w:eastAsia="zh-CN"/>
              </w:rPr>
              <w:t xml:space="preserve">分；没有不得分。</w:t>
            </w:r>
            <w:r/>
          </w:p>
        </w:tc>
      </w:tr>
    </w:tbl>
    <w:p>
      <w:pPr>
        <w:jc w:val="cente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highlight w:val="none"/>
        </w:rPr>
        <w:t xml:space="preserve">本章说明：本项目采用综合评分法。</w:t>
      </w:r>
      <w:r>
        <w:rPr>
          <w:rFonts w:hint="eastAsia" w:ascii="宋体" w:hAnsi="宋体" w:cs="宋体"/>
          <w:color w:val="auto"/>
          <w:sz w:val="18"/>
          <w:highlight w:val="none"/>
        </w:rPr>
        <w:t xml:space="preserve"> </w:t>
      </w:r>
      <w:r/>
    </w:p>
    <w:p>
      <w:pPr>
        <w:jc w:val="center"/>
        <w:rPr>
          <w:rFonts w:hint="eastAsia" w:ascii="宋体" w:hAnsi="宋体" w:cs="宋体"/>
          <w:b/>
          <w:bCs/>
          <w:color w:val="auto"/>
          <w:sz w:val="30"/>
          <w:szCs w:val="30"/>
          <w:highlight w:val="none"/>
        </w:rPr>
        <w:sectPr>
          <w:headerReference w:type="default" r:id="rId10"/>
          <w:footerReference w:type="default" r:id="rId13"/>
          <w:footerReference w:type="first" r:id="rId14"/>
          <w:footnotePr/>
          <w:endnotePr/>
          <w:type w:val="nextPage"/>
          <w:pgSz w:w="11906" w:h="16838" w:orient="portrait"/>
          <w:pgMar w:top="1134" w:right="1797" w:bottom="1134" w:left="1797" w:header="0" w:footer="992" w:gutter="0"/>
          <w:cols w:num="1" w:sep="0" w:space="425" w:equalWidth="1"/>
          <w:docGrid w:linePitch="360"/>
          <w:titlePg/>
        </w:sectPr>
      </w:pPr>
      <w:r>
        <w:rPr>
          <w:rFonts w:hint="eastAsia" w:ascii="宋体" w:hAnsi="宋体" w:cs="宋体"/>
          <w:b/>
          <w:bCs/>
          <w:color w:val="auto"/>
          <w:sz w:val="30"/>
          <w:szCs w:val="30"/>
          <w:highlight w:val="none"/>
        </w:rPr>
      </w:r>
      <w:r/>
    </w:p>
    <w:p>
      <w:pPr>
        <w:pStyle w:val="1140"/>
        <w:numPr>
          <w:ilvl w:val="0"/>
          <w:numId w:val="0"/>
        </w:numPr>
        <w:rPr>
          <w:rFonts w:ascii="宋体" w:hAnsi="宋体" w:eastAsia="宋体" w:cs="宋体"/>
          <w:color w:val="auto"/>
          <w:sz w:val="24"/>
          <w:szCs w:val="24"/>
          <w:highlight w:val="none"/>
        </w:rPr>
      </w:pPr>
      <w:r/>
      <w:bookmarkStart w:id="3" w:name="_Toc14780"/>
      <w:r>
        <w:rPr>
          <w:rFonts w:hint="eastAsia" w:ascii="宋体" w:hAnsi="宋体" w:eastAsia="宋体" w:cs="宋体"/>
          <w:color w:val="auto"/>
          <w:sz w:val="24"/>
          <w:szCs w:val="24"/>
          <w:highlight w:val="none"/>
          <w:lang w:val="en-US" w:eastAsia="zh-CN"/>
        </w:rPr>
        <w:t xml:space="preserve">第五章</w:t>
      </w:r>
      <w:r>
        <w:rPr>
          <w:rFonts w:hint="eastAsia" w:ascii="宋体" w:hAnsi="宋体" w:eastAsia="宋体" w:cs="宋体"/>
          <w:color w:val="auto"/>
          <w:sz w:val="24"/>
          <w:szCs w:val="24"/>
          <w:highlight w:val="none"/>
        </w:rPr>
        <w:t xml:space="preserve"> 拟签订的合同文本</w:t>
      </w:r>
      <w:bookmarkEnd w:id="3"/>
      <w:r/>
      <w:r/>
    </w:p>
    <w:p>
      <w:pPr>
        <w:pStyle w:val="886"/>
        <w:ind w:left="1470" w:right="1470"/>
        <w:rPr>
          <w:color w:val="auto"/>
          <w:highlight w:val="none"/>
        </w:rPr>
      </w:pPr>
      <w:r>
        <w:rPr>
          <w:color w:val="auto"/>
          <w:highlight w:val="none"/>
        </w:rPr>
      </w:r>
      <w:r/>
    </w:p>
    <w:p>
      <w:pPr>
        <w:pStyle w:val="886"/>
        <w:ind w:left="1470" w:right="1470"/>
        <w:rPr>
          <w:color w:val="auto"/>
          <w:highlight w:val="none"/>
        </w:rPr>
      </w:pPr>
      <w:r>
        <w:rPr>
          <w:color w:val="auto"/>
          <w:highlight w:val="none"/>
        </w:rPr>
      </w:r>
      <w:r/>
    </w:p>
    <w:p>
      <w:pPr>
        <w:pStyle w:val="879"/>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879"/>
        <w:rPr>
          <w:rFonts w:ascii="宋体" w:hAnsi="宋体" w:cs="宋体"/>
          <w:color w:val="auto"/>
          <w:sz w:val="24"/>
          <w:highlight w:val="none"/>
        </w:rPr>
      </w:pPr>
      <w:r>
        <w:rPr>
          <w:rFonts w:hint="eastAsia" w:ascii="宋体" w:hAnsi="宋体" w:cs="宋体"/>
          <w:color w:val="auto"/>
          <w:sz w:val="24"/>
          <w:highlight w:val="none"/>
        </w:rPr>
        <w:t xml:space="preserve">项目编号：</w:t>
      </w:r>
      <w:r/>
    </w:p>
    <w:p>
      <w:pPr>
        <w:pStyle w:val="874"/>
        <w:rPr>
          <w:rFonts w:ascii="宋体" w:eastAsia="宋体" w:cs="宋体"/>
          <w:color w:val="auto"/>
          <w:sz w:val="24"/>
          <w:szCs w:val="24"/>
          <w:highlight w:val="none"/>
        </w:rPr>
      </w:pPr>
      <w:r>
        <w:rPr>
          <w:rFonts w:ascii="宋体" w:eastAsia="宋体" w:cs="宋体"/>
          <w:color w:val="auto"/>
          <w:sz w:val="24"/>
          <w:szCs w:val="24"/>
          <w:highlight w:val="none"/>
        </w:rPr>
      </w:r>
      <w:r/>
    </w:p>
    <w:p>
      <w:pPr>
        <w:pStyle w:val="876"/>
        <w:rPr>
          <w:rFonts w:hint="default" w:hAnsi="宋体" w:cs="宋体"/>
          <w:color w:val="auto"/>
          <w:sz w:val="24"/>
          <w:highlight w:val="none"/>
        </w:rPr>
      </w:pPr>
      <w:r>
        <w:rPr>
          <w:rFonts w:hint="default" w:hAnsi="宋体" w:cs="宋体"/>
          <w:color w:val="auto"/>
          <w:sz w:val="24"/>
          <w:highlight w:val="none"/>
        </w:rPr>
      </w:r>
      <w:r/>
    </w:p>
    <w:p>
      <w:pPr>
        <w:rPr>
          <w:color w:val="auto"/>
          <w:highlight w:val="none"/>
        </w:rPr>
      </w:pPr>
      <w:r>
        <w:rPr>
          <w:color w:val="auto"/>
          <w:highlight w:val="none"/>
        </w:rPr>
      </w:r>
      <w:r/>
    </w:p>
    <w:p>
      <w:pPr>
        <w:pStyle w:val="879"/>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政</w:t>
      </w:r>
      <w:r/>
    </w:p>
    <w:p>
      <w:pPr>
        <w:pStyle w:val="879"/>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府</w:t>
      </w:r>
      <w:r/>
    </w:p>
    <w:p>
      <w:pPr>
        <w:pStyle w:val="879"/>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采</w:t>
      </w:r>
      <w:r/>
    </w:p>
    <w:p>
      <w:pPr>
        <w:pStyle w:val="879"/>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购</w:t>
      </w:r>
      <w:r/>
    </w:p>
    <w:p>
      <w:pPr>
        <w:pStyle w:val="879"/>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合</w:t>
      </w:r>
      <w:r/>
    </w:p>
    <w:p>
      <w:pPr>
        <w:pStyle w:val="879"/>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同</w:t>
      </w:r>
      <w:r/>
    </w:p>
    <w:p>
      <w:pPr>
        <w:pStyle w:val="879"/>
        <w:rPr>
          <w:rFonts w:ascii="宋体" w:hAnsi="宋体" w:cs="宋体"/>
          <w:color w:val="auto"/>
          <w:sz w:val="24"/>
          <w:highlight w:val="none"/>
        </w:rPr>
      </w:pPr>
      <w:r>
        <w:rPr>
          <w:rFonts w:hint="eastAsia" w:ascii="宋体" w:hAnsi="宋体" w:cs="宋体"/>
          <w:color w:val="auto"/>
          <w:sz w:val="24"/>
          <w:highlight w:val="none"/>
        </w:rPr>
        <w:t xml:space="preserve">采  购  人：</w:t>
      </w:r>
      <w:r/>
    </w:p>
    <w:p>
      <w:pPr>
        <w:pStyle w:val="879"/>
        <w:rPr>
          <w:rFonts w:ascii="宋体" w:hAnsi="宋体" w:cs="宋体"/>
          <w:color w:val="auto"/>
          <w:sz w:val="24"/>
          <w:highlight w:val="none"/>
        </w:rPr>
      </w:pPr>
      <w:r>
        <w:rPr>
          <w:rFonts w:hint="eastAsia" w:ascii="宋体" w:hAnsi="宋体" w:cs="宋体"/>
          <w:color w:val="auto"/>
          <w:sz w:val="24"/>
          <w:highlight w:val="none"/>
        </w:rPr>
        <w:t xml:space="preserve">成交供应商：</w:t>
      </w:r>
      <w:r/>
    </w:p>
    <w:p>
      <w:pPr>
        <w:pStyle w:val="879"/>
        <w:rPr>
          <w:rFonts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879"/>
        <w:rPr>
          <w:rFonts w:ascii="宋体" w:hAnsi="宋体" w:cs="宋体"/>
          <w:color w:val="auto"/>
          <w:sz w:val="24"/>
          <w:highlight w:val="none"/>
        </w:rPr>
      </w:pPr>
      <w:r>
        <w:rPr>
          <w:rFonts w:hint="eastAsia" w:ascii="宋体" w:hAnsi="宋体" w:cs="宋体"/>
          <w:color w:val="auto"/>
          <w:sz w:val="24"/>
          <w:highlight w:val="none"/>
        </w:rPr>
        <w:t xml:space="preserve">友情提醒：采购人与中标、成交供应商应当在中标、成交通知书发出之日起三十日内，按照采购文件确定的事项签订政府采购合同。</w:t>
      </w:r>
      <w:r/>
    </w:p>
    <w:p>
      <w:pPr>
        <w:jc w:val="left"/>
        <w:rPr>
          <w:rFonts w:ascii="宋体" w:hAnsi="宋体" w:cs="宋体"/>
          <w:color w:val="auto"/>
          <w:sz w:val="24"/>
          <w:highlight w:val="none"/>
        </w:rPr>
      </w:pPr>
      <w:r>
        <w:rPr>
          <w:rFonts w:hint="eastAsia" w:ascii="宋体" w:hAnsi="宋体" w:cs="宋体"/>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rPr>
          <w:b/>
          <w:bCs/>
          <w:color w:val="auto"/>
          <w:sz w:val="24"/>
          <w:highlight w:val="none"/>
        </w:rPr>
      </w:pPr>
      <w:r>
        <w:rPr>
          <w:rFonts w:hint="eastAsia"/>
          <w:b/>
          <w:bCs/>
          <w:color w:val="auto"/>
          <w:sz w:val="24"/>
          <w:highlight w:val="none"/>
        </w:rPr>
        <w:t xml:space="preserve">拟签订的合同条款</w:t>
      </w:r>
      <w:r/>
    </w:p>
    <w:p>
      <w:pPr>
        <w:jc w:val="center"/>
        <w:rPr>
          <w:b/>
          <w:bCs/>
          <w:color w:val="auto"/>
          <w:sz w:val="24"/>
          <w:highlight w:val="none"/>
        </w:rPr>
        <w:outlineLvl w:val="0"/>
      </w:pPr>
      <w:r/>
      <w:bookmarkStart w:id="4" w:name="_Toc8840"/>
      <w:r>
        <w:rPr>
          <w:rFonts w:hint="eastAsia"/>
          <w:b/>
          <w:bCs/>
          <w:color w:val="auto"/>
          <w:sz w:val="24"/>
          <w:highlight w:val="none"/>
        </w:rPr>
        <w:t xml:space="preserve">总 则</w:t>
      </w:r>
      <w:bookmarkEnd w:id="4"/>
      <w:r/>
      <w:r/>
    </w:p>
    <w:p>
      <w:pPr>
        <w:rPr>
          <w:color w:val="auto"/>
          <w:sz w:val="24"/>
          <w:highlight w:val="none"/>
        </w:rPr>
      </w:pPr>
      <w:r>
        <w:rPr>
          <w:rFonts w:hint="eastAsia"/>
          <w:color w:val="auto"/>
          <w:sz w:val="24"/>
          <w:highlight w:val="none"/>
        </w:rPr>
        <w:t xml:space="preserve">第一条  本合同当事人</w:t>
      </w:r>
      <w:r/>
    </w:p>
    <w:p>
      <w:pPr>
        <w:ind w:firstLine="480"/>
        <w:rPr>
          <w:rFonts w:ascii="宋体" w:hAnsi="宋体" w:cs="宋体"/>
          <w:color w:val="auto"/>
          <w:sz w:val="24"/>
          <w:highlight w:val="none"/>
        </w:rPr>
      </w:pPr>
      <w:r>
        <w:rPr>
          <w:rFonts w:hint="eastAsia"/>
          <w:color w:val="auto"/>
          <w:sz w:val="24"/>
          <w:highlight w:val="none"/>
        </w:rPr>
        <w:t xml:space="preserve">甲方：                                                        </w:t>
      </w:r>
      <w:r>
        <w:rPr>
          <w:rFonts w:hint="eastAsia" w:ascii="宋体" w:hAnsi="宋体" w:cs="宋体"/>
          <w:color w:val="auto"/>
          <w:sz w:val="24"/>
          <w:highlight w:val="none"/>
        </w:rPr>
        <w:t xml:space="preserve">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合同服务期限：  年   月   日起至    年   月   日。</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第二条  合同编号</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合同编号：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采购编号：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签订地点：                                                </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第三条  签订依据</w:t>
      </w:r>
      <w:r/>
    </w:p>
    <w:p>
      <w:pPr>
        <w:ind w:firstLine="480"/>
        <w:rPr>
          <w:rFonts w:ascii="宋体" w:hAnsi="宋体" w:cs="宋体"/>
          <w:color w:val="auto"/>
          <w:sz w:val="24"/>
          <w:highlight w:val="none"/>
        </w:rPr>
        <w:outlineLvl w:val="1"/>
      </w:pPr>
      <w:r>
        <w:rPr>
          <w:rFonts w:hint="eastAsia" w:ascii="宋体" w:hAnsi="宋体" w:cs="宋体"/>
          <w:color w:val="auto"/>
          <w:sz w:val="24"/>
          <w:highlight w:val="none"/>
        </w:rPr>
        <w:t xml:space="preserve">甲乙双方根据  年  月  日</w:t>
      </w:r>
      <w:r>
        <w:rPr>
          <w:rFonts w:hint="eastAsia" w:ascii="宋体" w:hAnsi="宋体" w:cs="宋体"/>
          <w:color w:val="auto"/>
          <w:sz w:val="24"/>
          <w:highlight w:val="none"/>
          <w:lang w:eastAsia="zh-CN"/>
        </w:rPr>
        <w:t xml:space="preserve">云龙区居民小区生活垃圾分类服务项目</w:t>
      </w:r>
      <w:r>
        <w:rPr>
          <w:rFonts w:hint="eastAsia" w:ascii="宋体" w:hAnsi="宋体" w:cs="宋体"/>
          <w:color w:val="auto"/>
          <w:sz w:val="24"/>
          <w:highlight w:val="none"/>
        </w:rPr>
        <w:t xml:space="preserve">(项目编号：   )招标结果，依据《中华人民共和国民法典》、《中华人民共和国政府采购法》、《中华人民共和国固体废物污染环境防治法》、《城市市容和环境卫生管理条例》、《城市生活垃圾管理办法》、《江苏省城市市容和环境卫生管理条例》、《徐州市生活垃圾管理条例》等有关法律、法规，经双方友好协商，签订本合同。</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第四条  合同文件的组成</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本合同所附下列文件是构成本合同不可分割的部分：</w:t>
      </w:r>
      <w:r/>
    </w:p>
    <w:p>
      <w:pPr>
        <w:ind w:firstLine="480"/>
        <w:rPr>
          <w:rFonts w:ascii="宋体" w:hAnsi="宋体" w:cs="宋体"/>
          <w:color w:val="auto"/>
          <w:sz w:val="24"/>
          <w:highlight w:val="none"/>
        </w:rPr>
        <w:outlineLvl w:val="1"/>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云龙区居民小区生活垃圾分类服务项目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)招标文件以及相关的澄清、补充文件等；</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2.乙方的投标文件及其澄清、补充说明文件等；</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3.中标通知书。</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第五条  承包范围</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招标文件（项目编号：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），具体内容见招标文件《项目要求》。</w:t>
      </w:r>
      <w:r/>
    </w:p>
    <w:p>
      <w:pPr>
        <w:ind w:firstLine="465"/>
        <w:jc w:val="center"/>
        <w:spacing w:line="400" w:lineRule="exact"/>
        <w:rPr>
          <w:rFonts w:ascii="宋体" w:hAnsi="宋体" w:cs="宋体"/>
          <w:b/>
          <w:bCs/>
          <w:color w:val="auto"/>
          <w:sz w:val="24"/>
          <w:highlight w:val="none"/>
        </w:rPr>
        <w:outlineLvl w:val="0"/>
      </w:pPr>
      <w:r/>
      <w:bookmarkStart w:id="5" w:name="_Toc23381"/>
      <w:r>
        <w:rPr>
          <w:rFonts w:hint="eastAsia" w:ascii="宋体" w:hAnsi="宋体" w:cs="宋体"/>
          <w:b/>
          <w:bCs/>
          <w:color w:val="auto"/>
          <w:sz w:val="24"/>
          <w:highlight w:val="none"/>
        </w:rPr>
        <w:t xml:space="preserve">第二节  项目内容</w:t>
      </w:r>
      <w:bookmarkEnd w:id="5"/>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第六条 项目名称：</w:t>
      </w:r>
      <w:r>
        <w:rPr>
          <w:rFonts w:hint="eastAsia" w:ascii="宋体" w:hAnsi="宋体" w:cs="宋体"/>
          <w:color w:val="auto"/>
          <w:sz w:val="24"/>
          <w:highlight w:val="none"/>
          <w:lang w:eastAsia="zh-CN"/>
        </w:rPr>
        <w:t xml:space="preserve">云龙区居民小区生活垃圾分类服务项目</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第七条 作业范围及内容：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1、实施范围:云龙区辖区。</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2、实施内容：</w:t>
      </w:r>
      <w:r/>
    </w:p>
    <w:p>
      <w:pPr>
        <w:pStyle w:val="1141"/>
        <w:ind w:firstLine="600"/>
        <w:spacing w:line="520" w:lineRule="exact"/>
        <w:rPr>
          <w:rFonts w:hint="default" w:ascii="宋体" w:hAnsi="宋体" w:cs="宋体"/>
          <w:color w:val="auto"/>
          <w:sz w:val="24"/>
          <w:szCs w:val="24"/>
          <w:highlight w:val="none"/>
        </w:rPr>
        <w:outlineLvl w:val="1"/>
      </w:pPr>
      <w:r>
        <w:rPr>
          <w:rFonts w:ascii="宋体" w:hAnsi="宋体" w:cs="宋体"/>
          <w:color w:val="auto"/>
          <w:sz w:val="24"/>
          <w:szCs w:val="24"/>
          <w:highlight w:val="none"/>
        </w:rPr>
        <w:t xml:space="preserve">（一）居民小区垃圾分类</w:t>
      </w:r>
      <w:r/>
    </w:p>
    <w:p>
      <w:pPr>
        <w:pStyle w:val="1141"/>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1.收集房保洁：按时开放、关闭收集房</w:t>
      </w:r>
      <w:r>
        <w:rPr>
          <w:rFonts w:hint="eastAsia" w:ascii="宋体" w:hAnsi="宋体" w:eastAsia="宋体" w:cs="宋体"/>
          <w:color w:val="auto"/>
          <w:sz w:val="24"/>
          <w:highlight w:val="none"/>
        </w:rPr>
        <w:t xml:space="preserve">。垃圾分类收集容器功能完好、无破损不满溢、种类齐全；垃圾分类投放设施摆放整齐，无随意摆放在收集房以外位置现象垃圾分类收集容器干净整洁。确保收集房洗手池、照明设施等设施齐全且能正常使用。</w:t>
      </w:r>
      <w:r>
        <w:rPr>
          <w:rFonts w:hint="eastAsia" w:ascii="宋体" w:hAnsi="宋体" w:eastAsia="宋体" w:cs="宋体"/>
          <w:color w:val="auto"/>
          <w:sz w:val="24"/>
          <w:szCs w:val="24"/>
          <w:highlight w:val="none"/>
        </w:rPr>
        <w:t xml:space="preserve">各类标志标识完好、规范。</w:t>
      </w:r>
      <w:r>
        <w:rPr>
          <w:rFonts w:hint="eastAsia" w:ascii="宋体" w:hAnsi="宋体" w:eastAsia="宋体" w:cs="宋体"/>
          <w:color w:val="auto"/>
          <w:sz w:val="24"/>
          <w:highlight w:val="none"/>
        </w:rPr>
        <w:t xml:space="preserve">做好设施维护及环境卫生管理工作，保持点位设施、设备原貌；收集房配备清洗、消杀物品、确保收集房及周边的环境干净整洁，确保无暴露垃圾、无污水污渍、无臭气臭味等。</w:t>
      </w:r>
      <w:r/>
    </w:p>
    <w:p>
      <w:pPr>
        <w:pStyle w:val="1142"/>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2.收集房督导：居民小区（含城中村等，以下同）收集房开放时间根据小区居民投放习惯合理设置；因地制宜推行专人定时督导。</w:t>
      </w:r>
      <w:r>
        <w:rPr>
          <w:rFonts w:hint="eastAsia" w:ascii="宋体" w:hAnsi="宋体" w:eastAsia="宋体" w:cs="宋体"/>
          <w:color w:val="auto"/>
          <w:sz w:val="24"/>
          <w:highlight w:val="none"/>
        </w:rPr>
        <w:t xml:space="preserve">定期对督导员进行分类标准、沟通技巧专项培训，加强督导员队伍建设，打造一批“能开口”、“会引导”扎根社区前端的专业力量，通过宣传、指导、监督等方式，引导居民会分类、主动分类，提升分出率。督导员应着装统一，佩戴工作证，有明显所属单位标志。</w:t>
      </w:r>
      <w:r/>
    </w:p>
    <w:p>
      <w:pPr>
        <w:pStyle w:val="1142"/>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3、攻坚类收集亭精细化管理：实施精细化管理的收集亭，安排专职督导员，每天在收集亭现场督导，工作时间段不低于全天6小时，早中晚各不低于2小时，节假日增加不少于1小时。</w:t>
      </w:r>
      <w:r/>
    </w:p>
    <w:p>
      <w:pPr>
        <w:pStyle w:val="1141"/>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（二）前端分类收运</w:t>
      </w:r>
      <w:r/>
    </w:p>
    <w:p>
      <w:pPr>
        <w:pStyle w:val="1141"/>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生活垃圾前端分类收集：合理规划生活垃圾分类收运路线，按照收集房垃圾桶不满溢、无异味的工作要求，科学确定收运频次，居民小区其他垃圾、厨余垃圾日产日清，厨余垃圾在收集房关闭后内将厨余垃圾桶驳运至驳运点，其他垃圾使用挂桶、密闭收集至中转站；</w:t>
      </w:r>
      <w:r>
        <w:rPr>
          <w:rFonts w:hint="eastAsia" w:ascii="宋体" w:hAnsi="宋体" w:eastAsia="宋体" w:cs="宋体"/>
          <w:color w:val="auto"/>
          <w:sz w:val="24"/>
          <w:szCs w:val="24"/>
          <w:highlight w:val="none"/>
        </w:rPr>
        <w:t xml:space="preserve">高低值可回收物采用定期收集或预约上门收集方式。有害垃圾垃圾、大件垃圾定期运至指定地点。</w:t>
      </w:r>
      <w:r/>
    </w:p>
    <w:p>
      <w:pPr>
        <w:pStyle w:val="1141"/>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2、厨余垃圾驳运点管理：配备专人管理，负责驳运点环境卫生管理、消杀除臭、保证驳运点安全规范有序运行，厨余垃圾计量、厨余垃圾驳运车辆的保养、维修、保险、维护、能耗等。</w:t>
      </w:r>
      <w:r/>
    </w:p>
    <w:p>
      <w:pPr>
        <w:pStyle w:val="1141"/>
        <w:ind w:firstLine="600"/>
        <w:spacing w:line="52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垃圾收运管理：加强收运车辆管理，车容车貌良好、分类标志标识规范、车辆密闭运输。强化收运作业全过程监管，严格落实“桶车同色、转车专用”，杜绝“混收混运”现象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确保各办事处大件垃圾及时转运</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健全健全回收体系：根据实际需要合理设置可回收物分拣中心、中转站，充分发挥现有生活垃圾分类收集点、智能回收箱等设施设备回收作用，积极在社区、小区设置可回收物回收服务点。创新推广预约上门回收、车辆流动回收、“互联网+回收”等灵活收运模式。</w:t>
      </w:r>
      <w:r>
        <w:rPr>
          <w:rFonts w:hint="eastAsia" w:ascii="宋体" w:hAnsi="宋体" w:eastAsia="宋体" w:cs="宋体"/>
          <w:color w:val="auto"/>
          <w:sz w:val="24"/>
          <w:highlight w:val="none"/>
        </w:rPr>
        <w:t xml:space="preserve">按照“一街道一中转”的原则，中转站面积不低于 50 平方/座，统一规划、统一形象、统一管理规范、统一衡器，功能包含回收、暂存、宣传、积分兑换、便民服务等功能。站点的建设应符合土地、“建筑、环境保护、消防等有关方面的政策和规定。每座中转站至分拣中心至少配备 1 辆封闭式新能源电动运输车，运输车应采用统一涂装、统一标识，按照当地公安交通管理部门规定的路线和时间行驶。 </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（三）生活垃圾分类治理和信息化建设：生活垃圾分类治理需以信息化为核心引擎，打通 “居民参与 - 分类投放 - 收运处置 - 监管优化” 全流程。高低值可回收物通过前端依托智能回收箱、移动端小程序实现居民投放信息化，中端通过GPS定位与AI视频监控设备，实时记录清运路线、垃圾装卸过程，发现混装行为自动预警；建立“社区巡查 + 平台监管”双机制。</w:t>
      </w:r>
      <w:r>
        <w:rPr>
          <w:rFonts w:hint="eastAsia" w:ascii="宋体" w:hAnsi="宋体" w:eastAsia="宋体" w:cs="宋体"/>
          <w:color w:val="auto"/>
          <w:sz w:val="24"/>
          <w:highlight w:val="none"/>
        </w:rPr>
        <w:t xml:space="preserve">后端通过分拣中心数据链路，记录各品类回收源、回收量，实现从居民投放到再生利用的全流程溯源，让全链条在信息化赋能下更高效、更透明，既提升居民参与便捷度，为体系运营优化、政策制定提供数据支撑。</w:t>
      </w:r>
      <w:r/>
    </w:p>
    <w:p>
      <w:pPr>
        <w:ind w:firstLine="480"/>
        <w:spacing w:line="400" w:lineRule="exact"/>
        <w:rPr>
          <w:rFonts w:ascii="宋体" w:hAnsi="宋体" w:cs="宋体"/>
          <w:color w:val="auto"/>
          <w:sz w:val="24"/>
          <w:highlight w:val="none"/>
        </w:rPr>
      </w:pPr>
      <w:r>
        <w:rPr>
          <w:rFonts w:hint="eastAsia" w:ascii="宋体" w:hAnsi="宋体" w:eastAsia="宋体" w:cs="宋体"/>
          <w:color w:val="auto"/>
          <w:sz w:val="24"/>
          <w:highlight w:val="none"/>
        </w:rPr>
        <w:t xml:space="preserve">第八条 作业规范、标准及要求：作业规范符合但不限于《江苏省城市环境卫生作业服务质量标准》、《生活垃圾分类标志》（GB/T 19095-2019）、《生活垃圾分类投放操作规程》（T/HW 00001-2018）、《生活垃圾收集运输作业规程》（T/HW 00003-2019）、《生活垃极收集运输质量标准》（T/HW 00004-2019）、《垃圾清运工职业技能标准》（T/HW 00005-2019）、《分类收运车辆/容器技术要求》（T/HW 00012-2020）等现行有关法律法规、规章和规范性文</w:t>
      </w:r>
      <w:r>
        <w:rPr>
          <w:rFonts w:hint="eastAsia" w:ascii="宋体" w:hAnsi="宋体" w:cs="宋体"/>
          <w:color w:val="auto"/>
          <w:sz w:val="24"/>
          <w:highlight w:val="none"/>
        </w:rPr>
        <w:t xml:space="preserve">件，以及相关的作业标准、规范。</w:t>
      </w:r>
      <w:r/>
    </w:p>
    <w:p>
      <w:pPr>
        <w:jc w:val="center"/>
        <w:spacing w:line="400" w:lineRule="exact"/>
        <w:tabs>
          <w:tab w:val="center" w:pos="5131" w:leader="none"/>
        </w:tabs>
        <w:rPr>
          <w:rFonts w:ascii="宋体" w:hAnsi="宋体" w:cs="宋体"/>
          <w:b/>
          <w:bCs/>
          <w:color w:val="auto"/>
          <w:sz w:val="24"/>
          <w:highlight w:val="none"/>
        </w:rPr>
        <w:outlineLvl w:val="0"/>
      </w:pPr>
      <w:r/>
      <w:bookmarkStart w:id="6" w:name="_Toc16992"/>
      <w:r>
        <w:rPr>
          <w:rFonts w:hint="eastAsia" w:ascii="宋体" w:hAnsi="宋体" w:cs="宋体"/>
          <w:b/>
          <w:bCs/>
          <w:color w:val="auto"/>
          <w:sz w:val="24"/>
          <w:highlight w:val="none"/>
        </w:rPr>
        <w:t xml:space="preserve">第三节  作业人员及设备配置</w:t>
      </w:r>
      <w:bookmarkEnd w:id="6"/>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第九条  人员要求</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人员数量至少满足以下要求：</w:t>
      </w:r>
      <w:r>
        <w:rPr>
          <w:rFonts w:hint="eastAsia" w:ascii="宋体" w:hAnsi="宋体" w:cs="宋体"/>
          <w:color w:val="auto"/>
          <w:sz w:val="24"/>
          <w:highlight w:val="none"/>
          <w:lang w:eastAsia="zh-CN"/>
        </w:rPr>
        <w:t xml:space="preserve">督导员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人，其他人员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人。按照相关法律法规及文件要求，配备统一服装及卫生防护用品配备要求。</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第十条  设备配置要求</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乙方根据合同约定质量要求配置车辆，数量至少满足以下要求：厨余垃圾驳运车</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台，其他垃圾收运车</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台。</w:t>
      </w:r>
      <w:r/>
    </w:p>
    <w:p>
      <w:pPr>
        <w:ind w:firstLine="480"/>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2、乙方在本项目中新增或更新的轻型生活垃圾压缩车辆中新能源比例不低于80%。乙方应充分了解徐州市新能源车辆上牌上路政策，如因上牌等问题造成的车辆被交警扣留等情况由乙方自行负责。</w:t>
      </w:r>
      <w:r/>
    </w:p>
    <w:p>
      <w:pPr>
        <w:ind w:firstLine="482"/>
        <w:jc w:val="center"/>
        <w:spacing w:line="400" w:lineRule="exact"/>
        <w:tabs>
          <w:tab w:val="center" w:pos="5131" w:leader="none"/>
        </w:tabs>
        <w:rPr>
          <w:rFonts w:ascii="宋体" w:hAnsi="宋体" w:cs="宋体"/>
          <w:b/>
          <w:bCs/>
          <w:color w:val="auto"/>
          <w:sz w:val="24"/>
          <w:highlight w:val="none"/>
        </w:rPr>
        <w:outlineLvl w:val="0"/>
      </w:pPr>
      <w:r/>
      <w:bookmarkStart w:id="7" w:name="_Toc19100"/>
      <w:r>
        <w:rPr>
          <w:rFonts w:hint="eastAsia" w:ascii="宋体" w:hAnsi="宋体" w:cs="宋体"/>
          <w:b/>
          <w:bCs/>
          <w:color w:val="auto"/>
          <w:sz w:val="24"/>
          <w:highlight w:val="none"/>
        </w:rPr>
        <w:t xml:space="preserve">第四节  合同价款与支付</w:t>
      </w:r>
      <w:bookmarkEnd w:id="7"/>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第十一条  合同金额为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万元，月合同金额为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万元，支付期不足月时，按当月实际天数折算支付金额。</w:t>
      </w:r>
      <w:r/>
    </w:p>
    <w:p>
      <w:pPr>
        <w:ind w:firstLine="480"/>
        <w:spacing w:line="360" w:lineRule="auto"/>
        <w:rPr>
          <w:rFonts w:ascii="宋体" w:hAnsi="宋体" w:cs="宋体"/>
          <w:color w:val="auto"/>
          <w:sz w:val="24"/>
          <w:highlight w:val="none"/>
        </w:rPr>
      </w:pPr>
      <w:r>
        <w:rPr>
          <w:rStyle w:val="1116"/>
          <w:rFonts w:hint="eastAsia" w:ascii="宋体" w:hAnsi="宋体" w:cs="宋体"/>
          <w:color w:val="auto"/>
          <w:sz w:val="24"/>
          <w:highlight w:val="none"/>
        </w:rPr>
        <w:t xml:space="preserve">1、</w:t>
      </w:r>
      <w:r>
        <w:rPr>
          <w:rFonts w:hint="eastAsia" w:ascii="宋体" w:hAnsi="宋体" w:cs="宋体"/>
          <w:color w:val="auto"/>
          <w:sz w:val="24"/>
          <w:highlight w:val="none"/>
        </w:rPr>
        <w:t xml:space="preserve">付款方式（提交预付款保函的）付款方式：本合同总金额为人民币大写金额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元（小写金额：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元），经双方协商一致，选择以下第</w:t>
      </w:r>
      <w:r>
        <w:rPr>
          <w:rFonts w:hint="eastAsia" w:ascii="宋体" w:hAnsi="宋体" w:cs="宋体"/>
          <w:color w:val="auto"/>
          <w:sz w:val="24"/>
          <w:highlight w:val="none"/>
          <w:u w:val="single"/>
        </w:rPr>
        <w:t xml:space="preserve"> 二 </w:t>
      </w:r>
      <w:r>
        <w:rPr>
          <w:rFonts w:hint="eastAsia" w:ascii="宋体" w:hAnsi="宋体" w:cs="宋体"/>
          <w:color w:val="auto"/>
          <w:sz w:val="24"/>
          <w:highlight w:val="none"/>
        </w:rPr>
        <w:t xml:space="preserve">种付款方式：</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付款方式一</w:t>
      </w:r>
      <w:r>
        <w:rPr>
          <w:rFonts w:hint="eastAsia" w:ascii="宋体" w:hAnsi="宋体" w:cs="宋体"/>
          <w:color w:val="auto"/>
          <w:sz w:val="24"/>
          <w:highlight w:val="none"/>
        </w:rPr>
        <w:t xml:space="preserve">：提交预付款保函的</w:t>
      </w:r>
      <w:r/>
    </w:p>
    <w:p>
      <w:pPr>
        <w:pStyle w:val="886"/>
        <w:ind w:left="0" w:right="84"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合同价款的百分之</w:t>
      </w:r>
      <w:r>
        <w:rPr>
          <w:rFonts w:hint="eastAsia" w:ascii="宋体" w:hAnsi="宋体" w:cs="宋体"/>
          <w:color w:val="auto"/>
          <w:sz w:val="24"/>
          <w:highlight w:val="none"/>
        </w:rPr>
        <w:t xml:space="preserve">二十</w:t>
      </w:r>
      <w:r>
        <w:rPr>
          <w:rFonts w:hint="eastAsia" w:ascii="宋体" w:hAnsi="宋体" w:cs="宋体"/>
          <w:color w:val="auto"/>
          <w:sz w:val="24"/>
          <w:highlight w:val="none"/>
        </w:rPr>
        <w:t xml:space="preserve">(20%)即￥</w:t>
      </w:r>
      <w:r>
        <w:rPr>
          <w:rFonts w:hint="eastAsia" w:ascii="宋体" w:hAnsi="宋体" w:cs="宋体"/>
          <w:i/>
          <w:iCs/>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元整，在双方签订合同，乙方提供对应金额的</w:t>
      </w:r>
      <w:r>
        <w:rPr>
          <w:rFonts w:ascii="SimSun" w:hAnsi="SimSun" w:eastAsia="SimSun" w:cs="SimSun"/>
          <w:color w:val="000000"/>
          <w:sz w:val="24"/>
        </w:rPr>
        <w:t xml:space="preserve">发票后10个工作日内</w:t>
      </w:r>
      <w:r>
        <w:rPr>
          <w:rFonts w:hint="eastAsia" w:ascii="宋体" w:hAnsi="宋体" w:cs="宋体"/>
          <w:color w:val="auto"/>
          <w:sz w:val="24"/>
          <w:highlight w:val="none"/>
        </w:rPr>
        <w:t xml:space="preserve">，办理政府采购资金结算手续支付给乙方。</w:t>
      </w:r>
      <w:r/>
    </w:p>
    <w:p>
      <w:pPr>
        <w:pStyle w:val="886"/>
        <w:ind w:left="0" w:right="84"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合同总价的百分之</w:t>
      </w:r>
      <w:r>
        <w:rPr>
          <w:rFonts w:hint="eastAsia" w:ascii="宋体" w:hAnsi="宋体" w:cs="宋体"/>
          <w:color w:val="auto"/>
          <w:sz w:val="24"/>
          <w:highlight w:val="none"/>
        </w:rPr>
        <w:t xml:space="preserve">二十</w:t>
      </w:r>
      <w:r/>
      <w:r>
        <w:rPr>
          <w:rFonts w:hint="eastAsia" w:ascii="宋体" w:hAnsi="宋体" w:cs="宋体"/>
          <w:color w:val="auto"/>
          <w:sz w:val="24"/>
          <w:highlight w:val="none"/>
        </w:rPr>
        <w:t xml:space="preserve">(20%)即￥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，乙方提供对应金额的</w:t>
      </w:r>
      <w:r>
        <w:rPr>
          <w:rFonts w:ascii="SimSun" w:hAnsi="SimSun" w:eastAsia="SimSun" w:cs="SimSun"/>
          <w:color w:val="000000"/>
          <w:sz w:val="24"/>
        </w:rPr>
        <w:t xml:space="preserve">发票后10个工作日内</w:t>
      </w:r>
      <w:r>
        <w:rPr>
          <w:rFonts w:hint="eastAsia" w:ascii="宋体" w:hAnsi="宋体" w:cs="宋体"/>
          <w:color w:val="auto"/>
          <w:sz w:val="24"/>
          <w:highlight w:val="none"/>
        </w:rPr>
        <w:t xml:space="preserve">，由甲方办理政府采购资金结算手续，经审核后支付给乙方。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卖方需提交的支付文件包括：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付款方式二：不</w:t>
      </w:r>
      <w:r>
        <w:rPr>
          <w:rFonts w:hint="eastAsia" w:ascii="宋体" w:hAnsi="宋体" w:cs="宋体"/>
          <w:color w:val="auto"/>
          <w:sz w:val="24"/>
          <w:highlight w:val="none"/>
        </w:rPr>
        <w:t xml:space="preserve">提交预付款保函的</w:t>
      </w:r>
      <w:r/>
    </w:p>
    <w:p>
      <w:pPr>
        <w:pStyle w:val="886"/>
        <w:ind w:left="0" w:right="-57"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合同总价的</w:t>
      </w:r>
      <w:r>
        <w:rPr>
          <w:rFonts w:hint="eastAsia" w:ascii="宋体" w:hAnsi="宋体" w:cs="宋体"/>
          <w:color w:val="auto"/>
          <w:sz w:val="24"/>
          <w:highlight w:val="none"/>
        </w:rPr>
        <w:t xml:space="preserve">百分之</w:t>
      </w:r>
      <w:r>
        <w:rPr>
          <w:rFonts w:hint="eastAsia" w:ascii="宋体" w:hAnsi="宋体" w:cs="宋体"/>
          <w:color w:val="auto"/>
          <w:sz w:val="24"/>
          <w:highlight w:val="none"/>
        </w:rPr>
        <w:t xml:space="preserve">十五</w:t>
      </w:r>
      <w:r>
        <w:rPr>
          <w:rFonts w:hint="eastAsia" w:ascii="宋体" w:hAnsi="宋体" w:cs="宋体"/>
          <w:color w:val="auto"/>
          <w:sz w:val="24"/>
          <w:highlight w:val="none"/>
        </w:rPr>
        <w:t xml:space="preserve">（</w:t>
      </w:r>
      <w:r>
        <w:rPr>
          <w:rFonts w:hint="eastAsia" w:ascii="宋体" w:hAnsi="宋体" w:cs="宋体"/>
          <w:color w:val="auto"/>
          <w:sz w:val="24"/>
          <w:highlight w:val="none"/>
        </w:rPr>
      </w:r>
      <w:r>
        <w:rPr>
          <w:rFonts w:hint="eastAsia" w:ascii="宋体" w:hAnsi="宋体" w:cs="宋体"/>
          <w:color w:val="auto"/>
          <w:sz w:val="24"/>
          <w:highlight w:val="none"/>
        </w:rPr>
      </w:r>
      <w:r>
        <w:rPr>
          <w:rFonts w:hint="eastAsia" w:ascii="宋体" w:hAnsi="宋体" w:cs="宋体"/>
          <w:color w:val="auto"/>
          <w:sz w:val="24"/>
          <w:highlight w:val="none"/>
        </w:rPr>
      </w:r>
      <w:r>
        <w:rPr>
          <w:rFonts w:hint="eastAsia" w:ascii="宋体" w:hAnsi="宋体" w:cs="宋体"/>
          <w:color w:val="auto"/>
          <w:sz w:val="24"/>
          <w:highlight w:val="none"/>
        </w:rPr>
        <w:t xml:space="preserve">15%</w:t>
      </w:r>
      <w:r>
        <w:rPr>
          <w:rFonts w:hint="eastAsia" w:ascii="宋体" w:hAnsi="宋体" w:cs="宋体"/>
          <w:color w:val="auto"/>
          <w:sz w:val="24"/>
          <w:highlight w:val="none"/>
        </w:rPr>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，本项目</w:t>
      </w:r>
      <w:r>
        <w:rPr>
          <w:rFonts w:hint="eastAsia" w:ascii="宋体" w:hAnsi="宋体" w:cs="宋体"/>
          <w:color w:val="auto"/>
          <w:sz w:val="24"/>
          <w:highlight w:val="none"/>
          <w:u w:val="single"/>
        </w:rPr>
        <w:t xml:space="preserve">按月支付，次月月初根据考核结果及财政拨款进度，支付月合同经费 </w:t>
      </w:r>
      <w:r>
        <w:rPr>
          <w:rFonts w:hint="eastAsia" w:ascii="宋体" w:hAnsi="宋体" w:cs="宋体"/>
          <w:color w:val="auto"/>
          <w:sz w:val="24"/>
          <w:highlight w:val="none"/>
        </w:rPr>
        <w:t xml:space="preserve">乙方提供对应金额的</w:t>
      </w:r>
      <w:r>
        <w:rPr>
          <w:rFonts w:ascii="SimSun" w:hAnsi="SimSun" w:eastAsia="SimSun" w:cs="SimSun"/>
          <w:color w:val="000000"/>
          <w:sz w:val="24"/>
        </w:rPr>
        <w:t xml:space="preserve">发票后10个工作日内</w:t>
      </w:r>
      <w:r>
        <w:rPr>
          <w:rFonts w:hint="eastAsia" w:ascii="宋体" w:hAnsi="宋体" w:cs="宋体"/>
          <w:color w:val="auto"/>
          <w:sz w:val="24"/>
          <w:highlight w:val="none"/>
        </w:rPr>
        <w:t xml:space="preserve">，由甲方办理政府采购资金结算手续，经审核后支付给乙方。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卖方需提交的支付文件包括：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卖方出具的全额正式发票；</w:t>
      </w:r>
      <w:r/>
    </w:p>
    <w:p>
      <w:pPr>
        <w:spacing w:line="360" w:lineRule="auto"/>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     收款人：   </w:t>
      </w:r>
      <w:r/>
    </w:p>
    <w:p>
      <w:pPr>
        <w:spacing w:line="360" w:lineRule="auto"/>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     开户行：</w:t>
      </w:r>
      <w:r/>
    </w:p>
    <w:p>
      <w:pPr>
        <w:spacing w:line="360" w:lineRule="auto"/>
        <w:tabs>
          <w:tab w:val="center" w:pos="5131" w:leader="none"/>
        </w:tabs>
        <w:rPr>
          <w:color w:val="auto"/>
          <w:sz w:val="24"/>
          <w:highlight w:val="none"/>
        </w:rPr>
      </w:pPr>
      <w:r>
        <w:rPr>
          <w:rFonts w:hint="eastAsia" w:ascii="宋体" w:hAnsi="宋体" w:cs="宋体"/>
          <w:color w:val="auto"/>
          <w:sz w:val="24"/>
          <w:highlight w:val="none"/>
        </w:rPr>
        <w:t xml:space="preserve">     账  号：</w:t>
      </w:r>
      <w:r/>
    </w:p>
    <w:p>
      <w:pPr>
        <w:ind w:firstLine="504"/>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第十二条</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合同期内，甲方根据检查考核结果按照合同价款按月支付。</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第十三条 </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合同价款实行包干制。在合同约定的作业量范围内，甲方不再额外支付本合同约定以外的任何费用。</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第十四条 进场作业后，于次月起甲方根据检查考核结果按照财政拨款进度向乙方支付，乙方须凭项目所在地税务机关开具的等额发票办理结算。</w:t>
      </w:r>
      <w:r/>
    </w:p>
    <w:p>
      <w:pPr>
        <w:ind w:left="540"/>
        <w:jc w:val="center"/>
        <w:spacing w:line="400" w:lineRule="exact"/>
        <w:tabs>
          <w:tab w:val="center" w:pos="5131" w:leader="none"/>
        </w:tabs>
        <w:rPr>
          <w:rFonts w:ascii="宋体" w:hAnsi="宋体" w:cs="宋体"/>
          <w:color w:val="auto"/>
          <w:sz w:val="24"/>
          <w:highlight w:val="none"/>
        </w:rPr>
        <w:outlineLvl w:val="0"/>
      </w:pPr>
      <w:r/>
      <w:bookmarkStart w:id="8" w:name="_Toc25791"/>
      <w:r>
        <w:rPr>
          <w:rFonts w:hint="eastAsia" w:ascii="宋体" w:hAnsi="宋体" w:cs="宋体"/>
          <w:b/>
          <w:bCs/>
          <w:color w:val="auto"/>
          <w:sz w:val="24"/>
          <w:highlight w:val="none"/>
        </w:rPr>
        <w:t xml:space="preserve">第五节、双方的权利和义务</w:t>
      </w:r>
      <w:bookmarkEnd w:id="8"/>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第十五条</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甲方的权利和义务</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甲方按照考核办法（详见合同附件）对乙方作业质量、文明作业、安全作业等情况进行定期检查考评，有权查阅、复制合同项目的有关文件和资料以及进入现场开展检查，但不得干扰乙方的正常作业。检查考评结果作为每月支付给乙方合同价款的依据。</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（二）各类重大活动，甲方有权要求乙方无条件保质保量按活动要求完成工作任务，如未能完成，甲方应纳入考核。</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（三）监督检查乙方对法律、法规、规章和相关作业标准、行业规范的履行情况。</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（四）对乙方本项目的列支费用进行监督审查。</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（五）根据服务项目实际情况对服务优化调整。</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（六）对乙方在规定时间内提供上年度的有效社会保险缴费清单进行审核，单位承担部分申请财政据实按年度拨付。</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（七）对乙方工人工资、津贴、加班工资发放情况进行不定期检查。</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（八）有权要求乙方更换项目负责人及其他服务人员。</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（九）根据市委、市政府重要工作部署、重大活动保障及我市城市环境卫生管理现状等因素，动态调整考核办法。</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第十六条</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 乙方权利和义务</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（一）遵守法律、法规、规章和相关作业标准、行业规范。</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（二）根据合同自觉开展各项工作，确保承包区域内各项作业符合相关标准、规范，达到合同约定的质量标准；严禁在承包范围内从事非经甲方认定或有碍甲方利益的各类业务。</w:t>
      </w:r>
      <w:r/>
    </w:p>
    <w:p>
      <w:pPr>
        <w:ind w:firstLine="480"/>
        <w:spacing w:line="400" w:lineRule="exact"/>
        <w:tabs>
          <w:tab w:val="left" w:pos="552" w:leader="none"/>
        </w:tabs>
        <w:rPr>
          <w:rFonts w:ascii="宋体" w:hAnsi="宋体" w:cs="宋体"/>
          <w:color w:val="auto"/>
          <w:sz w:val="24"/>
          <w:highlight w:val="none"/>
        </w:rPr>
      </w:pPr>
      <w:r>
        <w:rPr>
          <w:rFonts w:hint="eastAsia" w:ascii="宋体" w:hAnsi="宋体" w:cs="宋体"/>
          <w:color w:val="auto"/>
          <w:sz w:val="24"/>
          <w:highlight w:val="none"/>
        </w:rPr>
        <w:t xml:space="preserve">（三）接受甲方、环卫主管部门或其委托第三方等的指导、监督、检查和考核,并自觉接受社会监督，缴纳社会监督扣款,按时、按标准兑现市民举报奖励。</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四）根据法律、法规及合同约定组建专业作业队伍、配备作业工具，健全各类管理制度，设备（含车辆）定期维修保养，建立定期维修保养制度，完善日常运营台账。按甲方要求将从业人员资料、作业计划、作业方案、设备（含车辆）维修保养方案等报甲方备案并接受甲方的检查。</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（五）独立承担作业人员及设备（含车辆）的安全责任、用人责任。</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（六）做好各项应急保障工作。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（七）按照相关要求和标准建立每日自查制度，完善各项台账资料。</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（八）对徐州市政府12345服务热线、12319数字城管监督指挥中心派单、媒体曝光、信访来电等有责投诉必须按规定进行整改，并将整改结果书面报送甲方。</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（九）承担其工作人员的人身财产损害及造成第三人损害的法律责任。</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（十）必须将所投入本项目的设备（含车辆）向甲方备案，设备（含车辆）只能在本项目专用，未经甲方书面同意不得用于其他项目。</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（十一）负责项目内设施、设备（含车辆）管理和维护，如有遗失、损坏由乙方承担赔偿责任。未经甲方书面同意不得迁移生活垃圾收集设施。</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（十二）积极按甲方要求参加相关会议和各类培训。</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（十三）必须对企业员工进行安全生产、职业技能等培训，教育职工严格遵守国家法律法规、作业及安全操作规程。作业人员应经专业培训后方可上岗作业。</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（十四）接受政府相关部门的财务审核，提供真实有效资料。</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五）按照法律、法规和国家、省、市的规定，按月足额、以银行代发方式发放人员工资、津贴、加班工资等。合同履行期内遇政策调整，要求提高工人待遇的，乙方必须于政策调整执行日期起执行，甲方不予补贴。</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六）按照法律、法规规定为作业人员缴纳相应的社会保险、商业保险（每人投保的保险金额不得低于60万元）。该项目作业人员社会保险费用必须按规定交纳至人力资源和社会保障部门，缴费清单按甲方规定的时间提交甲方审查。</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（十七）按法律、法规等的相关规定为作业人员提供必要的劳动保护用品。</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（十九）不断提高企业管理水平和作业能力，提高企业运营管理实力。</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（二十）未经甲方和市级环境卫生主管部门批准，不得自行调整人员数量、作业范围、作业模式、作业量。</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（二十一）对于市民、物业服务企业等主体不配合生活垃圾分类的行为，乙方应积极举报并收集证据，有义务配合执法人员调查取证。</w:t>
      </w:r>
      <w:r/>
    </w:p>
    <w:p>
      <w:pPr>
        <w:ind w:firstLine="480"/>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（二十二）</w:t>
      </w:r>
      <w:r>
        <w:rPr>
          <w:rFonts w:hint="eastAsia" w:ascii="宋体" w:hAnsi="宋体" w:cs="宋体"/>
          <w:color w:val="auto"/>
          <w:sz w:val="24"/>
          <w:highlight w:val="none"/>
        </w:rPr>
        <w:t xml:space="preserve">在合同履行期间，生活垃圾分类收集房由乙方承担安全责任，如发生安全事故，由乙方承担相应全部法律责任。</w:t>
      </w:r>
      <w:r/>
    </w:p>
    <w:p>
      <w:pPr>
        <w:ind w:firstLine="482"/>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二十三</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未经甲方同意不得更换项目负责人。</w:t>
      </w:r>
      <w:r/>
    </w:p>
    <w:p>
      <w:pPr>
        <w:jc w:val="center"/>
        <w:spacing w:line="400" w:lineRule="exact"/>
        <w:tabs>
          <w:tab w:val="center" w:pos="5131" w:leader="none"/>
        </w:tabs>
        <w:rPr>
          <w:rFonts w:ascii="宋体" w:hAnsi="宋体" w:cs="宋体"/>
          <w:b/>
          <w:bCs/>
          <w:color w:val="auto"/>
          <w:sz w:val="24"/>
          <w:highlight w:val="none"/>
        </w:rPr>
        <w:outlineLvl w:val="0"/>
      </w:pPr>
      <w:r/>
      <w:bookmarkStart w:id="9" w:name="_Toc32004"/>
      <w:r>
        <w:rPr>
          <w:rFonts w:hint="eastAsia" w:ascii="宋体" w:hAnsi="宋体" w:cs="宋体"/>
          <w:b/>
          <w:bCs/>
          <w:color w:val="auto"/>
          <w:sz w:val="24"/>
          <w:highlight w:val="none"/>
        </w:rPr>
        <w:t xml:space="preserve">第六节  不间断服务约定</w:t>
      </w:r>
      <w:bookmarkEnd w:id="9"/>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第十七条  乙方不得因法定代表人变更或其他管理缺失而影响服务质量；</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第十八条  乙方在任何情况下都必须保证其所服务项目的人员配置符合合同约定；</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第十九条  乙方在任何情况下都必须保证其所服务项目的设备（含车辆）运行状态符合合同约定。</w:t>
      </w:r>
      <w:r/>
    </w:p>
    <w:p>
      <w:pPr>
        <w:jc w:val="center"/>
        <w:spacing w:line="400" w:lineRule="exact"/>
        <w:rPr>
          <w:rFonts w:ascii="宋体" w:hAnsi="宋体" w:cs="宋体"/>
          <w:b/>
          <w:bCs/>
          <w:color w:val="auto"/>
          <w:sz w:val="24"/>
          <w:highlight w:val="none"/>
        </w:rPr>
        <w:outlineLvl w:val="0"/>
      </w:pPr>
      <w:r/>
      <w:bookmarkStart w:id="10" w:name="_Toc17050"/>
      <w:r>
        <w:rPr>
          <w:rFonts w:hint="eastAsia" w:ascii="宋体" w:hAnsi="宋体" w:cs="宋体"/>
          <w:b/>
          <w:bCs/>
          <w:color w:val="auto"/>
          <w:sz w:val="24"/>
          <w:highlight w:val="none"/>
        </w:rPr>
        <w:t xml:space="preserve">第七节  项目接管</w:t>
      </w:r>
      <w:bookmarkEnd w:id="10"/>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第二十条  甲方有权在下列情形下接管乙方项目：</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（一）因乙方经营管理不善，发生重大质量、生产安全事故；</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（二）乙方擅自停业、歇业；</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（三）乙方作业过程造成重大环境污染；</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（四）其他重大、紧急可能危急公共安全行为的。</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乙方必须对其过错承担责任，包括经济赔偿责任及其他责任，事故处理后是否恢复履行合同由甲方决定。</w:t>
      </w:r>
      <w:r/>
    </w:p>
    <w:p>
      <w:pPr>
        <w:ind w:firstLine="482"/>
        <w:jc w:val="center"/>
        <w:spacing w:line="400" w:lineRule="exact"/>
        <w:tabs>
          <w:tab w:val="center" w:pos="5131" w:leader="none"/>
        </w:tabs>
        <w:rPr>
          <w:rFonts w:ascii="宋体" w:hAnsi="宋体" w:cs="宋体"/>
          <w:b/>
          <w:bCs/>
          <w:color w:val="auto"/>
          <w:sz w:val="24"/>
          <w:highlight w:val="none"/>
        </w:rPr>
        <w:outlineLvl w:val="0"/>
      </w:pPr>
      <w:r/>
      <w:bookmarkStart w:id="11" w:name="_Toc16214"/>
      <w:r>
        <w:rPr>
          <w:rFonts w:hint="eastAsia" w:ascii="宋体" w:hAnsi="宋体" w:cs="宋体"/>
          <w:b/>
          <w:bCs/>
          <w:color w:val="auto"/>
          <w:sz w:val="24"/>
          <w:highlight w:val="none"/>
        </w:rPr>
        <w:t xml:space="preserve">第八节、违约责任</w:t>
      </w:r>
      <w:bookmarkEnd w:id="11"/>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第二十四条  甲方未按约定支付合同价款，乙方可追究甲方违约责任。</w:t>
      </w:r>
      <w:r/>
    </w:p>
    <w:p>
      <w:pPr>
        <w:ind w:firstLine="480"/>
        <w:spacing w:line="400" w:lineRule="exact"/>
        <w:tabs>
          <w:tab w:val="left" w:pos="2715" w:leader="none"/>
        </w:tabs>
        <w:rPr>
          <w:rFonts w:ascii="宋体" w:hAnsi="宋体" w:cs="宋体"/>
          <w:color w:val="auto"/>
          <w:sz w:val="24"/>
          <w:highlight w:val="none"/>
        </w:rPr>
      </w:pPr>
      <w:r>
        <w:rPr>
          <w:rFonts w:hint="eastAsia" w:ascii="宋体" w:hAnsi="宋体" w:cs="宋体"/>
          <w:color w:val="auto"/>
          <w:sz w:val="24"/>
          <w:highlight w:val="none"/>
        </w:rPr>
        <w:t xml:space="preserve">第二十五条</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发现以下情况的，甲方按下列条款扣除当月合同经费：</w:t>
      </w:r>
      <w:r/>
    </w:p>
    <w:p>
      <w:pPr>
        <w:ind w:firstLine="480"/>
        <w:jc w:val="left"/>
        <w:spacing w:line="400" w:lineRule="exact"/>
        <w:tabs>
          <w:tab w:val="left" w:pos="2445" w:leader="none"/>
        </w:tabs>
        <w:rPr>
          <w:rFonts w:ascii="宋体" w:hAnsi="宋体" w:cs="宋体"/>
          <w:color w:val="auto"/>
          <w:sz w:val="24"/>
          <w:highlight w:val="none"/>
        </w:rPr>
      </w:pPr>
      <w:r>
        <w:rPr>
          <w:rFonts w:hint="eastAsia" w:ascii="宋体" w:hAnsi="宋体" w:cs="宋体"/>
          <w:color w:val="auto"/>
          <w:sz w:val="24"/>
          <w:highlight w:val="none"/>
        </w:rPr>
        <w:t xml:space="preserve">（一）未经甲方和市环境卫生主管部门允许，自行减少人员的，缺少人数按每人5千元-1万元。</w:t>
      </w:r>
      <w:r/>
    </w:p>
    <w:p>
      <w:pPr>
        <w:ind w:firstLine="480"/>
        <w:jc w:val="left"/>
        <w:spacing w:line="400" w:lineRule="exact"/>
        <w:tabs>
          <w:tab w:val="left" w:pos="2445" w:leader="none"/>
        </w:tabs>
        <w:rPr>
          <w:rFonts w:ascii="宋体" w:hAnsi="宋体" w:cs="宋体"/>
          <w:color w:val="auto"/>
          <w:sz w:val="24"/>
          <w:highlight w:val="none"/>
        </w:rPr>
      </w:pPr>
      <w:r>
        <w:rPr>
          <w:rFonts w:hint="eastAsia" w:ascii="宋体" w:hAnsi="宋体" w:cs="宋体"/>
          <w:color w:val="auto"/>
          <w:sz w:val="24"/>
          <w:highlight w:val="none"/>
        </w:rPr>
        <w:t xml:space="preserve">（二）未按规定发放工人工资、津贴、加班工资等，每次1-5万元。</w:t>
      </w:r>
      <w:r/>
    </w:p>
    <w:p>
      <w:pPr>
        <w:ind w:firstLine="480"/>
        <w:jc w:val="left"/>
        <w:spacing w:line="400" w:lineRule="exact"/>
        <w:tabs>
          <w:tab w:val="left" w:pos="2445" w:leader="none"/>
        </w:tabs>
        <w:rPr>
          <w:rFonts w:ascii="宋体" w:hAnsi="宋体" w:cs="宋体"/>
          <w:color w:val="auto"/>
          <w:sz w:val="24"/>
          <w:highlight w:val="none"/>
        </w:rPr>
      </w:pPr>
      <w:r>
        <w:rPr>
          <w:rFonts w:hint="eastAsia" w:ascii="宋体" w:hAnsi="宋体" w:cs="宋体"/>
          <w:color w:val="auto"/>
          <w:sz w:val="24"/>
          <w:highlight w:val="none"/>
        </w:rPr>
        <w:t xml:space="preserve">（三）因混收混运、收集点管理不到位、收运作业不规范等原因造成市民投诉并查实的，每次1-5万元。</w:t>
      </w:r>
      <w:r/>
    </w:p>
    <w:p>
      <w:pPr>
        <w:ind w:firstLine="480"/>
        <w:jc w:val="left"/>
        <w:spacing w:line="400" w:lineRule="exact"/>
        <w:tabs>
          <w:tab w:val="left" w:pos="2445" w:leader="none"/>
        </w:tabs>
        <w:rPr>
          <w:rFonts w:ascii="宋体" w:hAnsi="宋体" w:cs="宋体"/>
          <w:color w:val="auto"/>
          <w:sz w:val="24"/>
          <w:highlight w:val="none"/>
        </w:rPr>
      </w:pPr>
      <w:r>
        <w:rPr>
          <w:rFonts w:hint="eastAsia" w:ascii="宋体" w:hAnsi="宋体" w:cs="宋体"/>
          <w:color w:val="auto"/>
          <w:sz w:val="24"/>
          <w:highlight w:val="none"/>
        </w:rPr>
        <w:t xml:space="preserve">（四）因不文明作业、违规作业被市民投诉并查实的，每次1-5万元，如因违规作业或乙方违法违规行为造成市民人身和财产损失的，每次5万元，按责任认定由此给市民造成的损失由乙方承担。</w:t>
      </w:r>
      <w:r/>
    </w:p>
    <w:p>
      <w:pPr>
        <w:ind w:firstLine="480"/>
        <w:spacing w:line="400" w:lineRule="exact"/>
        <w:tabs>
          <w:tab w:val="left" w:pos="2445" w:leader="none"/>
        </w:tabs>
        <w:rPr>
          <w:rFonts w:ascii="宋体" w:hAnsi="宋体" w:cs="宋体"/>
          <w:color w:val="auto"/>
          <w:sz w:val="24"/>
          <w:highlight w:val="none"/>
        </w:rPr>
      </w:pPr>
      <w:r>
        <w:rPr>
          <w:rFonts w:hint="eastAsia" w:ascii="宋体" w:hAnsi="宋体" w:cs="宋体"/>
          <w:color w:val="auto"/>
          <w:sz w:val="24"/>
          <w:highlight w:val="none"/>
        </w:rPr>
        <w:t xml:space="preserve">（五）不执行重大活动保障及应急处置指令，不服从全市统一调度指挥的，每次5-10万元。</w:t>
      </w:r>
      <w:r/>
    </w:p>
    <w:p>
      <w:pPr>
        <w:ind w:firstLine="480"/>
        <w:spacing w:line="400" w:lineRule="exact"/>
        <w:tabs>
          <w:tab w:val="left" w:pos="2445" w:leader="none"/>
        </w:tabs>
        <w:rPr>
          <w:rFonts w:ascii="宋体" w:hAnsi="宋体" w:cs="宋体"/>
          <w:color w:val="auto"/>
          <w:sz w:val="24"/>
          <w:highlight w:val="none"/>
        </w:rPr>
      </w:pPr>
      <w:r>
        <w:rPr>
          <w:rFonts w:hint="eastAsia" w:ascii="宋体" w:hAnsi="宋体" w:cs="宋体"/>
          <w:color w:val="auto"/>
          <w:sz w:val="24"/>
          <w:highlight w:val="none"/>
        </w:rPr>
        <w:t xml:space="preserve">（六）被媒体曝光、上级通报的，每次1-5万元。</w:t>
      </w:r>
      <w:r/>
    </w:p>
    <w:p>
      <w:pPr>
        <w:ind w:firstLine="480"/>
        <w:spacing w:line="400" w:lineRule="exact"/>
        <w:tabs>
          <w:tab w:val="left" w:pos="2445" w:leader="none"/>
        </w:tabs>
        <w:rPr>
          <w:rFonts w:ascii="宋体" w:hAnsi="宋体" w:cs="宋体"/>
          <w:color w:val="auto"/>
          <w:sz w:val="24"/>
          <w:highlight w:val="none"/>
        </w:rPr>
      </w:pPr>
      <w:r>
        <w:rPr>
          <w:rFonts w:hint="eastAsia" w:ascii="宋体" w:hAnsi="宋体" w:cs="宋体"/>
          <w:color w:val="auto"/>
          <w:sz w:val="24"/>
          <w:highlight w:val="none"/>
        </w:rPr>
        <w:t xml:space="preserve">（七）厨余垃圾分出率未达标的，每次1-5万元。</w:t>
      </w:r>
      <w:r/>
    </w:p>
    <w:p>
      <w:pPr>
        <w:ind w:firstLine="480"/>
        <w:spacing w:line="400" w:lineRule="exact"/>
        <w:tabs>
          <w:tab w:val="left" w:pos="2445" w:leader="none"/>
        </w:tabs>
        <w:rPr>
          <w:rFonts w:ascii="宋体" w:hAnsi="宋体" w:cs="宋体"/>
          <w:color w:val="auto"/>
          <w:sz w:val="24"/>
          <w:highlight w:val="none"/>
        </w:rPr>
      </w:pPr>
      <w:r>
        <w:rPr>
          <w:rFonts w:hint="eastAsia"/>
          <w:color w:val="auto"/>
          <w:sz w:val="24"/>
          <w:highlight w:val="none"/>
        </w:rPr>
        <w:t xml:space="preserve">（八）非因不可抗力导致发生安全事故的，每次1-5万元。事故责任由乙方承担并赔偿由此产生的一切损失。</w:t>
      </w:r>
      <w:r/>
    </w:p>
    <w:p>
      <w:pPr>
        <w:ind w:firstLine="480"/>
        <w:spacing w:line="400" w:lineRule="exact"/>
        <w:tabs>
          <w:tab w:val="left" w:pos="2445" w:leader="none"/>
          <w:tab w:val="right" w:pos="8124" w:leader="none"/>
        </w:tabs>
        <w:rPr>
          <w:rFonts w:ascii="宋体" w:hAnsi="宋体" w:cs="宋体"/>
          <w:color w:val="auto"/>
          <w:sz w:val="24"/>
          <w:highlight w:val="none"/>
        </w:rPr>
      </w:pPr>
      <w:r>
        <w:rPr>
          <w:rFonts w:hint="eastAsia" w:ascii="宋体" w:hAnsi="宋体" w:cs="宋体"/>
          <w:color w:val="auto"/>
          <w:sz w:val="24"/>
          <w:highlight w:val="none"/>
        </w:rPr>
        <w:t xml:space="preserve">如乙方在合同期内、存在上述情形累计超过3次以上，每次扣除合同经费20万元。</w:t>
      </w:r>
      <w:r/>
    </w:p>
    <w:p>
      <w:pPr>
        <w:ind w:firstLine="482"/>
        <w:jc w:val="center"/>
        <w:spacing w:line="400" w:lineRule="exact"/>
        <w:tabs>
          <w:tab w:val="center" w:pos="5131" w:leader="none"/>
        </w:tabs>
        <w:rPr>
          <w:rFonts w:ascii="宋体" w:hAnsi="宋体" w:cs="宋体"/>
          <w:b/>
          <w:bCs/>
          <w:color w:val="auto"/>
          <w:sz w:val="24"/>
          <w:highlight w:val="none"/>
        </w:rPr>
        <w:outlineLvl w:val="0"/>
      </w:pPr>
      <w:r/>
      <w:bookmarkStart w:id="12" w:name="_Toc13978"/>
      <w:r>
        <w:rPr>
          <w:rFonts w:hint="eastAsia" w:ascii="宋体" w:hAnsi="宋体" w:cs="宋体"/>
          <w:b/>
          <w:bCs/>
          <w:color w:val="auto"/>
          <w:sz w:val="24"/>
          <w:highlight w:val="none"/>
        </w:rPr>
        <w:t xml:space="preserve">第九节   不可抗力</w:t>
      </w:r>
      <w:bookmarkEnd w:id="12"/>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第二十六条  不可抗力或甲、乙双方不能控制的原因不能履行合同的，根据不可抗力的影响，部分或者全部免除责任，但合同一方迟延履行后发生不可抗力的，不能免除责任。</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第二十七条  合同一方因不可抗力不能履行合同的，应当及时通知对方，以减轻可能给对方造成损失，并应当在合理期限内提供证明。  </w:t>
      </w:r>
      <w:r/>
    </w:p>
    <w:p>
      <w:pPr>
        <w:ind w:firstLine="482"/>
        <w:jc w:val="center"/>
        <w:spacing w:line="400" w:lineRule="exact"/>
        <w:tabs>
          <w:tab w:val="center" w:pos="5131" w:leader="none"/>
        </w:tabs>
        <w:rPr>
          <w:rFonts w:ascii="宋体" w:hAnsi="宋体" w:cs="宋体"/>
          <w:b/>
          <w:bCs/>
          <w:color w:val="auto"/>
          <w:sz w:val="24"/>
          <w:highlight w:val="none"/>
        </w:rPr>
        <w:outlineLvl w:val="0"/>
      </w:pPr>
      <w:r/>
      <w:bookmarkStart w:id="13" w:name="_Toc18065"/>
      <w:r>
        <w:rPr>
          <w:rFonts w:hint="eastAsia" w:ascii="宋体" w:hAnsi="宋体" w:cs="宋体"/>
          <w:b/>
          <w:bCs/>
          <w:color w:val="auto"/>
          <w:sz w:val="24"/>
          <w:highlight w:val="none"/>
        </w:rPr>
        <w:t xml:space="preserve">第十节  合同的解除</w:t>
      </w:r>
      <w:bookmarkEnd w:id="13"/>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第二十八条</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甲方和乙方经协商一致并达成书面协议，可以解除合同。</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如履行合同期间乙方中途退场需提前2个月以书面形式通知甲方，按月合同金额的2%支付违约金。</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第二十九条</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有下列情形之一，甲方有权解除合同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（一）乙方年度综合考核得分低于85分。</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（二）合同期内累计三次以上（含三次）受到甲方或市级以上（含）相关机构书面通报批评的。</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（三）服务内容不符合项目要求，新闻媒体曝光及群众投诉造成重大影响的或受到上级部门书面通报的，经查属实且有责三次以上（含三次）；</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（四）突发事件（如灾害性天气）或重大活动期间，不执行指令性任务或未按相关要求、标准完成任务，达三次以上（含三次）；</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（五）未经甲方同意，将合同转让或进行分包的；</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（六）乙方与其职工发生劳资、工伤等纠纷，未按规定妥善解决，导致职工越级上访或引发群体性事件的；</w:t>
      </w:r>
      <w:r/>
    </w:p>
    <w:p>
      <w:pPr>
        <w:ind w:firstLine="480"/>
        <w:spacing w:line="400" w:lineRule="exact"/>
        <w:tabs>
          <w:tab w:val="left" w:pos="2445" w:leader="none"/>
        </w:tabs>
        <w:rPr>
          <w:rFonts w:ascii="宋体" w:hAnsi="宋体" w:cs="宋体"/>
          <w:color w:val="auto"/>
          <w:sz w:val="24"/>
          <w:highlight w:val="none"/>
        </w:rPr>
      </w:pPr>
      <w:r>
        <w:rPr>
          <w:rFonts w:hint="eastAsia" w:ascii="宋体" w:hAnsi="宋体" w:cs="宋体"/>
          <w:color w:val="auto"/>
          <w:sz w:val="24"/>
          <w:highlight w:val="none"/>
        </w:rPr>
        <w:t xml:space="preserve">（七）擅自停业、歇业，影响社会公共利益和安全的；</w:t>
      </w:r>
      <w:r/>
    </w:p>
    <w:p>
      <w:pPr>
        <w:ind w:firstLine="480"/>
        <w:spacing w:line="400" w:lineRule="exact"/>
        <w:tabs>
          <w:tab w:val="left" w:pos="2445" w:leader="none"/>
        </w:tabs>
        <w:rPr>
          <w:rFonts w:ascii="宋体" w:hAnsi="宋体" w:cs="宋体"/>
          <w:color w:val="auto"/>
          <w:sz w:val="24"/>
          <w:highlight w:val="none"/>
        </w:rPr>
      </w:pPr>
      <w:r>
        <w:rPr>
          <w:rFonts w:hint="eastAsia" w:ascii="宋体" w:hAnsi="宋体" w:cs="宋体"/>
          <w:color w:val="auto"/>
          <w:sz w:val="24"/>
          <w:highlight w:val="none"/>
        </w:rPr>
        <w:t xml:space="preserve">（八）乙方未按规定发放工人工资、津贴、加班工资等的，被甲方或环境卫生管理机构通报三次以上的；</w:t>
      </w:r>
      <w:r/>
    </w:p>
    <w:p>
      <w:pPr>
        <w:ind w:firstLine="480"/>
        <w:spacing w:line="400" w:lineRule="exact"/>
        <w:tabs>
          <w:tab w:val="left" w:pos="2445" w:leader="none"/>
        </w:tabs>
        <w:rPr>
          <w:rFonts w:ascii="宋体" w:hAnsi="宋体" w:cs="宋体"/>
          <w:color w:val="auto"/>
          <w:sz w:val="24"/>
          <w:highlight w:val="none"/>
        </w:rPr>
      </w:pPr>
      <w:r>
        <w:rPr>
          <w:rFonts w:hint="eastAsia" w:ascii="宋体" w:hAnsi="宋体" w:cs="宋体"/>
          <w:color w:val="auto"/>
          <w:sz w:val="24"/>
          <w:highlight w:val="none"/>
        </w:rPr>
        <w:t xml:space="preserve">（九）厨余垃圾分出率连续3个月不达标的；</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（十）其他严重违反第十五条所列的乙方的权利和义务的行为。</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第三十条  合同解除时应书面通知乙方，书面通知到达乙方时解除。</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第三十一条</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因乙方违约解除合同的，其履约保证金不予退回，并视情况轻重列入</w:t>
      </w:r>
      <w:r>
        <w:rPr>
          <w:color w:val="auto"/>
          <w:highlight w:val="none"/>
        </w:rPr>
        <w:fldChar w:fldCharType="begin"/>
      </w:r>
      <w:r>
        <w:rPr>
          <w:color w:val="auto"/>
          <w:highlight w:val="none"/>
        </w:rPr>
        <w:instrText xml:space="preserve"> HYPERLINK "http://www.ccgp.gov.cn/search/cr/./" \o "政府采购严重违法失信行为记录名单" </w:instrText>
      </w:r>
      <w:r>
        <w:rPr>
          <w:color w:val="auto"/>
          <w:highlight w:val="none"/>
        </w:rPr>
        <w:fldChar w:fldCharType="separate"/>
      </w:r>
      <w:r>
        <w:rPr>
          <w:rFonts w:hint="eastAsia" w:ascii="宋体" w:hAnsi="宋体" w:cs="宋体"/>
          <w:color w:val="auto"/>
          <w:sz w:val="24"/>
          <w:highlight w:val="none"/>
        </w:rPr>
        <w:t xml:space="preserve">政府采</w:t>
      </w:r>
      <w:bookmarkStart w:id="14" w:name="_Hlt36220120"/>
      <w:r/>
      <w:bookmarkStart w:id="15" w:name="_Hlt36220121"/>
      <w:r>
        <w:rPr>
          <w:rFonts w:hint="eastAsia" w:ascii="宋体" w:hAnsi="宋体" w:cs="宋体"/>
          <w:color w:val="auto"/>
          <w:sz w:val="24"/>
          <w:highlight w:val="none"/>
        </w:rPr>
        <w:t xml:space="preserve">购</w:t>
      </w:r>
      <w:bookmarkEnd w:id="14"/>
      <w:r/>
      <w:bookmarkEnd w:id="15"/>
      <w:r>
        <w:rPr>
          <w:rFonts w:hint="eastAsia" w:ascii="宋体" w:hAnsi="宋体" w:cs="宋体"/>
          <w:color w:val="auto"/>
          <w:sz w:val="24"/>
          <w:highlight w:val="none"/>
        </w:rPr>
        <w:t xml:space="preserve">失信行为记录名单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spacing w:line="400" w:lineRule="exact"/>
        <w:tabs>
          <w:tab w:val="center" w:pos="5131" w:leader="none"/>
        </w:tabs>
        <w:rPr>
          <w:rFonts w:ascii="宋体" w:hAnsi="宋体" w:cs="宋体"/>
          <w:color w:val="auto"/>
          <w:sz w:val="24"/>
          <w:highlight w:val="none"/>
        </w:rPr>
      </w:pPr>
      <w:r>
        <w:rPr>
          <w:rFonts w:hint="eastAsia" w:ascii="宋体" w:hAnsi="宋体" w:cs="宋体"/>
          <w:color w:val="auto"/>
          <w:sz w:val="24"/>
          <w:highlight w:val="none"/>
        </w:rPr>
        <w:t xml:space="preserve">第三十二条 </w:t>
      </w: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合同解除后，甲方有权临时接管或指定第三方负责该标段服务工作。</w:t>
      </w:r>
      <w:r/>
    </w:p>
    <w:p>
      <w:pPr>
        <w:jc w:val="center"/>
        <w:spacing w:line="400" w:lineRule="exact"/>
        <w:rPr>
          <w:rFonts w:ascii="宋体" w:hAnsi="宋体" w:cs="宋体"/>
          <w:b/>
          <w:bCs/>
          <w:color w:val="auto"/>
          <w:sz w:val="24"/>
          <w:highlight w:val="none"/>
        </w:rPr>
        <w:outlineLvl w:val="0"/>
      </w:pPr>
      <w:r/>
      <w:bookmarkStart w:id="16" w:name="_Toc15061"/>
      <w:r>
        <w:rPr>
          <w:rFonts w:hint="eastAsia" w:ascii="宋体" w:hAnsi="宋体" w:cs="宋体"/>
          <w:b/>
          <w:bCs/>
          <w:color w:val="auto"/>
          <w:sz w:val="24"/>
          <w:highlight w:val="none"/>
        </w:rPr>
        <w:t xml:space="preserve">第十一节  附则</w:t>
      </w:r>
      <w:bookmarkEnd w:id="16"/>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第三十三条  双方约定自本合同生效之日起，根据甲方委托承包事项，办理接管验收手续。 </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第三十四条  本合同之附件均为合同有效组成部分。本合同及其附件和补充协议未规定的事宜，均遵照中华人民共和国有关法律、法规和规章执行。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第三十五条  本合同连同附件页，一式肆份，具有同等法律效力，甲方贰份，乙方贰份。</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第三十六条  本合同执行期限内如因自然灾害、城市建设、政策调整或者不可抗力导致合同不得不终止，甲乙双方应该相互理解，妥善处理终止合同所涉及相关事宜，互不追究对方责任。</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第三十七条  本合同未尽事宜，由甲乙双方协商解决。如果不能协商一致，合同任何一方有权向甲方所在地人民法院提起诉讼。</w:t>
      </w:r>
      <w:r/>
    </w:p>
    <w:p>
      <w:pPr>
        <w:pStyle w:val="1144"/>
        <w:rPr>
          <w:color w:val="auto"/>
          <w:highlight w:val="none"/>
        </w:rPr>
      </w:pPr>
      <w:r>
        <w:rPr>
          <w:color w:val="auto"/>
          <w:highlight w:val="none"/>
        </w:rPr>
      </w:r>
      <w:r/>
    </w:p>
    <w:p>
      <w:pPr>
        <w:pStyle w:val="1144"/>
        <w:ind w:left="0" w:firstLine="360"/>
        <w:rPr>
          <w:color w:val="auto"/>
          <w:sz w:val="24"/>
          <w:highlight w:val="none"/>
        </w:rPr>
      </w:pPr>
      <w:r>
        <w:rPr>
          <w:rFonts w:hint="eastAsia"/>
          <w:color w:val="auto"/>
          <w:sz w:val="24"/>
          <w:highlight w:val="none"/>
        </w:rPr>
        <w:t xml:space="preserve">（本页无正文）</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甲方（签章）：                      乙方（签章）：</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地址：                              地址：</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邮编：                              邮编：</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传真：                              传真：</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电话：                              电话：</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法定代表人或授权代表(签名)：</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                                开户银行：</w:t>
      </w:r>
      <w:r/>
    </w:p>
    <w:p>
      <w:pPr>
        <w:ind w:firstLine="480"/>
        <w:spacing w:line="400" w:lineRule="exact"/>
        <w:rPr>
          <w:rFonts w:ascii="宋体" w:hAnsi="宋体" w:cs="宋体"/>
          <w:color w:val="auto"/>
          <w:sz w:val="24"/>
          <w:highlight w:val="none"/>
        </w:rPr>
      </w:pPr>
      <w:r>
        <w:rPr>
          <w:rFonts w:hint="eastAsia" w:ascii="宋体" w:hAnsi="宋体" w:cs="宋体"/>
          <w:color w:val="auto"/>
          <w:sz w:val="24"/>
          <w:highlight w:val="none"/>
        </w:rPr>
        <w:t xml:space="preserve">                                银行账号：                                  </w:t>
      </w:r>
      <w:r/>
    </w:p>
    <w:p>
      <w:pPr>
        <w:ind w:firstLine="1020"/>
        <w:spacing w:line="400" w:lineRule="exact"/>
        <w:rPr>
          <w:rFonts w:ascii="宋体" w:hAnsi="宋体" w:cs="宋体"/>
          <w:color w:val="auto"/>
          <w:sz w:val="24"/>
          <w:highlight w:val="none"/>
        </w:rPr>
      </w:pPr>
      <w:r>
        <w:rPr>
          <w:rFonts w:hint="eastAsia" w:ascii="宋体" w:hAnsi="宋体" w:cs="宋体"/>
          <w:color w:val="auto"/>
          <w:sz w:val="24"/>
          <w:highlight w:val="none"/>
        </w:rPr>
        <w:t xml:space="preserve">年  月  日                          年  月  日</w:t>
      </w:r>
      <w:r/>
    </w:p>
    <w:p>
      <w:pPr>
        <w:spacing w:line="440" w:lineRule="exact"/>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合同附件</w:t>
      </w:r>
      <w:r/>
    </w:p>
    <w:p>
      <w:pPr>
        <w:jc w:val="center"/>
        <w:spacing w:line="640" w:lineRule="exact"/>
        <w:rPr>
          <w:rFonts w:ascii="宋体" w:hAnsi="宋体" w:cs="宋体"/>
          <w:b/>
          <w:bCs/>
          <w:color w:val="auto"/>
          <w:sz w:val="24"/>
          <w:highlight w:val="none"/>
        </w:rPr>
      </w:pPr>
      <w:r>
        <w:rPr>
          <w:rFonts w:hint="eastAsia" w:ascii="宋体" w:hAnsi="宋体" w:cs="宋体"/>
          <w:b/>
          <w:bCs/>
          <w:color w:val="auto"/>
          <w:sz w:val="24"/>
          <w:highlight w:val="none"/>
        </w:rPr>
        <w:t xml:space="preserve">主城区垃圾分类市场化</w:t>
      </w:r>
      <w:r/>
    </w:p>
    <w:p>
      <w:pPr>
        <w:jc w:val="center"/>
        <w:spacing w:line="640" w:lineRule="exact"/>
        <w:rPr>
          <w:rFonts w:ascii="宋体" w:hAnsi="宋体" w:cs="宋体"/>
          <w:color w:val="auto"/>
          <w:sz w:val="24"/>
          <w:highlight w:val="none"/>
        </w:rPr>
      </w:pPr>
      <w:r>
        <w:rPr>
          <w:rFonts w:hint="eastAsia" w:ascii="宋体" w:hAnsi="宋体" w:cs="宋体"/>
          <w:color w:val="auto"/>
          <w:sz w:val="24"/>
          <w:highlight w:val="none"/>
        </w:rPr>
        <w:t xml:space="preserve">考核办法</w:t>
      </w:r>
      <w:r/>
    </w:p>
    <w:p>
      <w:pPr>
        <w:jc w:val="center"/>
        <w:spacing w:line="640" w:lineRule="exact"/>
        <w:rPr>
          <w:rFonts w:ascii="宋体" w:hAnsi="宋体" w:cs="宋体"/>
          <w:color w:val="auto"/>
          <w:sz w:val="24"/>
          <w:highlight w:val="none"/>
        </w:rPr>
      </w:pPr>
      <w:r>
        <w:rPr>
          <w:rFonts w:hint="eastAsia" w:ascii="宋体" w:hAnsi="宋体" w:cs="宋体"/>
          <w:color w:val="auto"/>
          <w:sz w:val="24"/>
          <w:highlight w:val="none"/>
        </w:rPr>
        <w:t xml:space="preserve">（试行）</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为规范生活垃圾分类市场化作业过程的质量监管，建立常态长效监督管理机制，创造优美、整洁的工作和生活环境，制定本办法。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一、考核范围及内容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云龙区范围内居民小区的分类集中收集点运行管理（含</w:t>
      </w:r>
      <w:r>
        <w:rPr>
          <w:rFonts w:hint="eastAsia" w:ascii="宋体" w:hAnsi="宋体" w:cs="宋体"/>
          <w:color w:val="auto"/>
          <w:sz w:val="24"/>
          <w:highlight w:val="none"/>
          <w:lang w:eastAsia="zh-CN"/>
        </w:rPr>
        <w:t xml:space="preserve">督导员</w:t>
      </w:r>
      <w:r>
        <w:rPr>
          <w:rFonts w:hint="eastAsia" w:ascii="宋体" w:hAnsi="宋体" w:cs="宋体"/>
          <w:color w:val="auto"/>
          <w:sz w:val="24"/>
          <w:highlight w:val="none"/>
        </w:rPr>
        <w:t xml:space="preserve">配备），家庭厨余垃圾（以下简称厨余垃圾）驳运（收集点至驳运点），驳运点管理，其他垃圾前端收集（收集点至中转站），可回收物、有害垃圾收集并运送至指定场所；作业范围内的重大活动保障等应急任务，市、区交办的临时性任务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市、区环境卫生主管部门对市场化运行企业在工资、津贴、加班工资发放情况、应急处置、重大活动保障及行业基础数据申报、规章制度落实执行情况等合同履行方面进行不定期考核。</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二、考核主体及方式</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（一）专业考核</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市、区两级环境卫生主管部门，街道办事处，第三方监理每月对主城区垃圾分类市场化运行情况进行百分制考核，检查方式采取日常巡查和专项检查相结合的方式。</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（二）社会监督考核</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市民按社会监督考核细则对</w:t>
      </w:r>
      <w:r>
        <w:rPr>
          <w:rFonts w:hint="eastAsia" w:ascii="宋体" w:hAnsi="宋体" w:cs="宋体"/>
          <w:color w:val="auto"/>
          <w:sz w:val="24"/>
          <w:highlight w:val="none"/>
          <w:lang w:eastAsia="zh-CN"/>
        </w:rPr>
        <w:t xml:space="preserve">督导员</w:t>
      </w:r>
      <w:r>
        <w:rPr>
          <w:rFonts w:hint="eastAsia" w:ascii="宋体" w:hAnsi="宋体" w:cs="宋体"/>
          <w:color w:val="auto"/>
          <w:sz w:val="24"/>
          <w:highlight w:val="none"/>
        </w:rPr>
        <w:t xml:space="preserve">配备、收集点按时开放和关闭、收集容器不规范、车容车貌不规范、混收混运等内容进行有奖举报，经审核通过问题按相应标准处罚市场化企业。</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（三）厨余垃圾分出率考核</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按照市级环境卫生主管部门确定的厨余垃圾分出率标准进行考核，分月度日常考核和专项考核，月度日常考核由市级环境卫生主管部门会同各区、街道办事处按厨余垃圾收运、终端处理量核算，专项考核由市级环境卫生主管部门组织实施，具体考核办法另行制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三、计分及扣款</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（一）计分办法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市区（含</w:t>
      </w:r>
      <w:r>
        <w:rPr>
          <w:rFonts w:hint="eastAsia" w:ascii="宋体" w:hAnsi="宋体" w:cs="宋体"/>
          <w:color w:val="auto"/>
          <w:sz w:val="24"/>
          <w:highlight w:val="none"/>
        </w:rPr>
        <w:t xml:space="preserve">第三方监理</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区级、</w:t>
      </w:r>
      <w:r>
        <w:rPr>
          <w:rFonts w:hint="eastAsia" w:ascii="宋体" w:hAnsi="宋体" w:cs="宋体"/>
          <w:color w:val="auto"/>
          <w:sz w:val="24"/>
          <w:highlight w:val="none"/>
        </w:rPr>
        <w:t xml:space="preserve">各街道办事处于次月3日前将上月市场化企业得分</w:t>
      </w:r>
      <w:r>
        <w:rPr>
          <w:rFonts w:hint="eastAsia" w:ascii="宋体" w:hAnsi="宋体" w:cs="宋体"/>
          <w:color w:val="auto"/>
          <w:sz w:val="24"/>
          <w:highlight w:val="none"/>
          <w:lang w:val="en-US" w:eastAsia="zh-CN"/>
        </w:rPr>
        <w:t xml:space="preserve">汇总至区</w:t>
      </w:r>
      <w:r>
        <w:rPr>
          <w:rFonts w:hint="eastAsia" w:ascii="宋体" w:hAnsi="宋体" w:cs="宋体"/>
          <w:color w:val="auto"/>
          <w:sz w:val="24"/>
          <w:highlight w:val="none"/>
        </w:rPr>
        <w:t xml:space="preserve">级环境卫生主管部门，由其按照下列规则核算各企业月度综合考核得分。</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收集点管理（分类收运、驳运点管理）得分=市级考核得分*</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0%+区级考核得分*20%+街道办事处考核得分*</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0%</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厨余厨余垃圾分出率月度日常考核扣分：每低于标准厨余垃圾分出率1个百分点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与上年度同期相比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，扣0.1分（扣除月合同金额的0.1%）</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高低值可回收物月度日常考核扣分，每低于市级规定的高低值可回收物分出率</w:t>
      </w:r>
      <w:r>
        <w:rPr>
          <w:rFonts w:hint="eastAsia" w:ascii="宋体" w:hAnsi="宋体" w:cs="宋体"/>
          <w:color w:val="auto"/>
          <w:sz w:val="24"/>
          <w:highlight w:val="none"/>
        </w:rPr>
        <w:t xml:space="preserve">1个百分点，扣0.1分（扣除月合同金额的0.1%）</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月度综合考核得分=收集点管理得分*6</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%+分类收运得分*3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%+驳运点管理得分*5%-厨余垃圾分出率月度日常考核扣分-</w:t>
      </w:r>
      <w:r>
        <w:rPr>
          <w:rFonts w:hint="eastAsia" w:ascii="宋体" w:hAnsi="宋体" w:cs="宋体"/>
          <w:color w:val="auto"/>
          <w:sz w:val="24"/>
          <w:highlight w:val="none"/>
          <w:lang w:val="en-US" w:eastAsia="zh-CN"/>
        </w:rPr>
        <w:t xml:space="preserve">可回收物高低值</w:t>
      </w:r>
      <w:r>
        <w:rPr>
          <w:rFonts w:hint="eastAsia" w:ascii="宋体" w:hAnsi="宋体" w:cs="宋体"/>
          <w:color w:val="auto"/>
          <w:sz w:val="24"/>
          <w:highlight w:val="none"/>
        </w:rPr>
        <w:t xml:space="preserve">分出率月度日常考核扣分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含大件垃圾</w:t>
      </w:r>
      <w:r>
        <w:rPr>
          <w:rFonts w:hint="eastAsia" w:ascii="宋体" w:hAnsi="宋体" w:cs="宋体"/>
          <w:color w:val="auto"/>
          <w:sz w:val="24"/>
          <w:highlight w:val="none"/>
          <w:lang w:eastAsia="zh-CN"/>
        </w:rPr>
        <w:t xml:space="preserve">）</w:t>
      </w:r>
      <w:r/>
    </w:p>
    <w:p>
      <w:pPr>
        <w:ind w:firstLine="482"/>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（二）考核扣款</w:t>
      </w:r>
      <w:r/>
    </w:p>
    <w:p>
      <w:pPr>
        <w:ind w:firstLine="482"/>
        <w:spacing w:line="440" w:lineRule="exact"/>
        <w:tabs>
          <w:tab w:val="left" w:pos="2545" w:leader="none"/>
        </w:tabs>
        <w:rPr>
          <w:rFonts w:ascii="宋体" w:hAnsi="宋体" w:cs="宋体"/>
          <w:b/>
          <w:color w:val="auto"/>
          <w:sz w:val="24"/>
          <w:highlight w:val="none"/>
        </w:rPr>
      </w:pPr>
      <w:r>
        <w:rPr>
          <w:rFonts w:hint="eastAsia" w:ascii="宋体" w:hAnsi="宋体" w:cs="宋体"/>
          <w:b/>
          <w:color w:val="auto"/>
          <w:sz w:val="24"/>
          <w:highlight w:val="none"/>
        </w:rPr>
        <w:t xml:space="preserve">1、日常考核扣款</w:t>
      </w:r>
      <w:r/>
    </w:p>
    <w:p>
      <w:pPr>
        <w:ind w:firstLine="480"/>
        <w:spacing w:line="440" w:lineRule="exact"/>
        <w:tabs>
          <w:tab w:val="left" w:pos="2545" w:leader="none"/>
        </w:tabs>
        <w:rPr>
          <w:rFonts w:ascii="宋体" w:hAnsi="宋体" w:cs="宋体"/>
          <w:color w:val="auto"/>
          <w:sz w:val="24"/>
          <w:highlight w:val="none"/>
        </w:rPr>
      </w:pPr>
      <w:r>
        <w:rPr>
          <w:rFonts w:hint="eastAsia" w:ascii="宋体" w:hAnsi="宋体" w:cs="宋体"/>
          <w:color w:val="auto"/>
          <w:sz w:val="24"/>
          <w:highlight w:val="none"/>
        </w:rPr>
        <w:t xml:space="preserve">日常考核扣款=月平均合同金额*（100-月度综合考核得分）/100。</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当月得分大于95（含）分的，不扣减作业经费；当月得分小于95的，以95分为基数，每低0.01分，扣减当月作业经费0.01%。</w:t>
      </w:r>
      <w:r/>
    </w:p>
    <w:p>
      <w:pPr>
        <w:ind w:firstLine="482"/>
        <w:spacing w:line="440" w:lineRule="exact"/>
        <w:tabs>
          <w:tab w:val="left" w:pos="2545" w:leader="none"/>
        </w:tabs>
        <w:rPr>
          <w:rFonts w:ascii="宋体" w:hAnsi="宋体" w:cs="宋体"/>
          <w:b/>
          <w:color w:val="auto"/>
          <w:sz w:val="24"/>
          <w:highlight w:val="none"/>
        </w:rPr>
      </w:pPr>
      <w:r>
        <w:rPr>
          <w:rFonts w:hint="eastAsia" w:ascii="宋体" w:hAnsi="宋体" w:cs="宋体"/>
          <w:b/>
          <w:color w:val="auto"/>
          <w:sz w:val="24"/>
          <w:highlight w:val="none"/>
        </w:rPr>
        <w:t xml:space="preserve">2、社会监督扣款</w:t>
      </w:r>
      <w:r/>
    </w:p>
    <w:p>
      <w:pPr>
        <w:ind w:firstLine="480"/>
        <w:spacing w:line="440" w:lineRule="exact"/>
        <w:tabs>
          <w:tab w:val="left" w:pos="2545" w:leader="none"/>
        </w:tabs>
        <w:rPr>
          <w:rFonts w:ascii="宋体" w:hAnsi="宋体" w:cs="宋体"/>
          <w:color w:val="auto"/>
          <w:sz w:val="24"/>
          <w:highlight w:val="none"/>
        </w:rPr>
      </w:pPr>
      <w:r>
        <w:rPr>
          <w:rFonts w:hint="eastAsia" w:ascii="宋体" w:hAnsi="宋体" w:cs="宋体"/>
          <w:color w:val="auto"/>
          <w:sz w:val="24"/>
          <w:highlight w:val="none"/>
        </w:rPr>
        <w:t xml:space="preserve">市民举报、被审核通过问题，按照社会监督考核细则进行扣款。</w:t>
      </w:r>
      <w:r/>
    </w:p>
    <w:p>
      <w:pPr>
        <w:ind w:firstLine="482"/>
        <w:spacing w:line="440" w:lineRule="exact"/>
        <w:tabs>
          <w:tab w:val="left" w:pos="2225" w:leader="none"/>
        </w:tabs>
        <w:rPr>
          <w:rFonts w:ascii="宋体" w:hAnsi="宋体" w:cs="宋体"/>
          <w:b/>
          <w:color w:val="auto"/>
          <w:sz w:val="24"/>
          <w:highlight w:val="none"/>
        </w:rPr>
      </w:pPr>
      <w:r>
        <w:rPr>
          <w:rFonts w:hint="eastAsia" w:ascii="宋体" w:hAnsi="宋体" w:cs="宋体"/>
          <w:b/>
          <w:color w:val="auto"/>
          <w:sz w:val="24"/>
          <w:highlight w:val="none"/>
        </w:rPr>
        <w:t xml:space="preserve">3、厨余垃圾分出率专项考核扣款</w:t>
      </w:r>
      <w:r/>
    </w:p>
    <w:p>
      <w:pPr>
        <w:ind w:firstLine="480"/>
        <w:spacing w:line="440" w:lineRule="exact"/>
        <w:tabs>
          <w:tab w:val="left" w:pos="2225" w:leader="none"/>
        </w:tabs>
        <w:rPr>
          <w:rFonts w:ascii="宋体" w:hAnsi="宋体" w:cs="宋体"/>
          <w:color w:val="auto"/>
          <w:sz w:val="24"/>
          <w:highlight w:val="none"/>
        </w:rPr>
      </w:pPr>
      <w:r>
        <w:rPr>
          <w:rFonts w:hint="eastAsia" w:ascii="宋体" w:hAnsi="宋体" w:cs="宋体"/>
          <w:color w:val="auto"/>
          <w:sz w:val="24"/>
          <w:highlight w:val="none"/>
        </w:rPr>
        <w:t xml:space="preserve">厨余垃圾分出率未达标的，每次1-5万元，具体扣款标准按市级环境卫生主管部门制定的考核办法执行。</w:t>
      </w:r>
      <w:r/>
    </w:p>
    <w:p>
      <w:pPr>
        <w:ind w:firstLine="482"/>
        <w:spacing w:line="440" w:lineRule="exact"/>
        <w:tabs>
          <w:tab w:val="left" w:pos="2225" w:leader="none"/>
        </w:tabs>
        <w:rPr>
          <w:rFonts w:ascii="宋体" w:hAnsi="宋体" w:cs="宋体"/>
          <w:b/>
          <w:color w:val="auto"/>
          <w:sz w:val="24"/>
          <w:highlight w:val="none"/>
        </w:rPr>
      </w:pPr>
      <w:r>
        <w:rPr>
          <w:rFonts w:hint="eastAsia" w:ascii="宋体" w:hAnsi="宋体" w:cs="宋体"/>
          <w:b/>
          <w:color w:val="auto"/>
          <w:sz w:val="24"/>
          <w:highlight w:val="none"/>
        </w:rPr>
        <w:t xml:space="preserve">4、其他扣款</w:t>
      </w:r>
      <w:r>
        <w:rPr>
          <w:rFonts w:hint="eastAsia" w:ascii="宋体" w:hAnsi="宋体" w:cs="宋体"/>
          <w:b/>
          <w:color w:val="auto"/>
          <w:sz w:val="24"/>
          <w:highlight w:val="none"/>
        </w:rPr>
        <w:tab/>
      </w:r>
      <w:r/>
    </w:p>
    <w:p>
      <w:pPr>
        <w:ind w:firstLine="480"/>
        <w:spacing w:line="440" w:lineRule="exact"/>
        <w:tabs>
          <w:tab w:val="left" w:pos="2225" w:leader="none"/>
        </w:tabs>
        <w:rPr>
          <w:rFonts w:ascii="宋体" w:hAnsi="宋体" w:cs="宋体"/>
          <w:b/>
          <w:color w:val="auto"/>
          <w:sz w:val="24"/>
          <w:highlight w:val="none"/>
        </w:rPr>
      </w:pPr>
      <w:r>
        <w:rPr>
          <w:rFonts w:hint="eastAsia" w:ascii="宋体" w:hAnsi="宋体" w:cs="宋体"/>
          <w:color w:val="auto"/>
          <w:sz w:val="24"/>
          <w:highlight w:val="none"/>
        </w:rPr>
        <w:t xml:space="preserve">包含但不限于以下内容：</w:t>
      </w:r>
      <w:r/>
    </w:p>
    <w:p>
      <w:pPr>
        <w:ind w:firstLine="480"/>
        <w:spacing w:line="440" w:lineRule="exact"/>
        <w:tabs>
          <w:tab w:val="left" w:pos="2225" w:leader="none"/>
        </w:tabs>
        <w:rPr>
          <w:rFonts w:ascii="宋体" w:hAnsi="宋体" w:cs="宋体"/>
          <w:b/>
          <w:color w:val="auto"/>
          <w:sz w:val="24"/>
          <w:highlight w:val="none"/>
        </w:rPr>
      </w:pPr>
      <w:r>
        <w:rPr>
          <w:rFonts w:hint="eastAsia" w:ascii="宋体" w:hAnsi="宋体" w:cs="宋体"/>
          <w:color w:val="auto"/>
          <w:sz w:val="24"/>
          <w:highlight w:val="none"/>
        </w:rPr>
        <w:t xml:space="preserve">（1）其他专项考核扣款；</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（2）合同违约扣款；</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（3）其他违反合同的情形。</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outlineLvl w:val="0"/>
      </w:pPr>
      <w:r/>
      <w:bookmarkStart w:id="17" w:name="_Toc8512"/>
      <w:r>
        <w:rPr>
          <w:rFonts w:hint="eastAsia" w:ascii="宋体" w:hAnsi="宋体" w:cs="宋体"/>
          <w:color w:val="auto"/>
          <w:sz w:val="24"/>
          <w:highlight w:val="none"/>
        </w:rPr>
        <w:t xml:space="preserve">附件：1.生活垃圾分类市场化社会监督考核细则</w:t>
      </w:r>
      <w:bookmarkEnd w:id="17"/>
      <w:r/>
      <w:r/>
    </w:p>
    <w:p>
      <w:pPr>
        <w:ind w:firstLine="1200"/>
        <w:spacing w:line="440" w:lineRule="exact"/>
        <w:rPr>
          <w:rFonts w:ascii="宋体" w:hAnsi="宋体" w:cs="宋体"/>
          <w:color w:val="auto"/>
          <w:sz w:val="24"/>
          <w:highlight w:val="none"/>
        </w:rPr>
      </w:pPr>
      <w:r>
        <w:rPr>
          <w:rFonts w:hint="eastAsia" w:ascii="宋体" w:hAnsi="宋体" w:cs="宋体"/>
          <w:color w:val="auto"/>
          <w:sz w:val="24"/>
          <w:highlight w:val="none"/>
        </w:rPr>
        <w:t xml:space="preserve">2.生活垃圾分类集中收集点管理考核细则</w:t>
      </w:r>
      <w:r/>
    </w:p>
    <w:p>
      <w:pPr>
        <w:ind w:firstLine="1200"/>
        <w:spacing w:line="440" w:lineRule="exact"/>
        <w:rPr>
          <w:rFonts w:ascii="宋体" w:hAnsi="宋体" w:cs="宋体"/>
          <w:color w:val="auto"/>
          <w:sz w:val="24"/>
          <w:highlight w:val="none"/>
        </w:rPr>
      </w:pPr>
      <w:r>
        <w:rPr>
          <w:rFonts w:hint="eastAsia" w:ascii="宋体" w:hAnsi="宋体" w:cs="宋体"/>
          <w:color w:val="auto"/>
          <w:sz w:val="24"/>
          <w:highlight w:val="none"/>
        </w:rPr>
        <w:t xml:space="preserve">3.生活垃圾分类收运考核细则</w:t>
      </w:r>
      <w:r/>
    </w:p>
    <w:p>
      <w:pPr>
        <w:ind w:firstLine="1200"/>
        <w:spacing w:line="440" w:lineRule="exact"/>
        <w:rPr>
          <w:rFonts w:ascii="宋体" w:hAnsi="宋体" w:cs="宋体"/>
          <w:color w:val="auto"/>
          <w:sz w:val="24"/>
          <w:highlight w:val="none"/>
        </w:rPr>
      </w:pPr>
      <w:r>
        <w:rPr>
          <w:rFonts w:hint="eastAsia" w:ascii="宋体" w:hAnsi="宋体" w:cs="宋体"/>
          <w:color w:val="auto"/>
          <w:sz w:val="24"/>
          <w:highlight w:val="none"/>
        </w:rPr>
        <w:t xml:space="preserve">4.厨余垃圾驳运点管理考核细则</w:t>
      </w:r>
      <w:r/>
    </w:p>
    <w:p>
      <w:pPr>
        <w:ind w:firstLine="1200"/>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再生资源回收体系建设考核细则</w:t>
      </w:r>
      <w:r/>
    </w:p>
    <w:p>
      <w:pPr>
        <w:ind w:firstLine="1200"/>
        <w:spacing w:line="440" w:lineRule="exact"/>
        <w:rPr>
          <w:rFonts w:hint="eastAsia" w:ascii="宋体" w:hAnsi="宋体" w:cs="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.重点项目考</w:t>
      </w:r>
      <w:r/>
    </w:p>
    <w:p>
      <w:pPr>
        <w:jc w:val="left"/>
        <w:spacing w:line="520" w:lineRule="exact"/>
        <w:widowControl/>
        <w:rPr>
          <w:rFonts w:ascii="宋体" w:hAnsi="宋体" w:cs="宋体"/>
          <w:color w:val="auto"/>
          <w:sz w:val="24"/>
          <w:highlight w:val="none"/>
        </w:rPr>
        <w:outlineLvl w:val="0"/>
      </w:pPr>
      <w:r>
        <w:rPr>
          <w:rFonts w:hint="eastAsia" w:ascii="宋体" w:hAnsi="宋体" w:cs="宋体"/>
          <w:color w:val="auto"/>
          <w:sz w:val="24"/>
          <w:highlight w:val="none"/>
        </w:rPr>
        <w:t xml:space="preserve">附件1：</w:t>
      </w:r>
      <w:r/>
    </w:p>
    <w:p>
      <w:pPr>
        <w:ind w:firstLine="425"/>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生活垃圾分类市场化社会监督考核细则</w:t>
      </w:r>
      <w:r/>
    </w:p>
    <w:tbl>
      <w:tblPr>
        <w:tblStyle w:val="867"/>
        <w:tblW w:w="14820" w:type="dxa"/>
        <w:tblInd w:w="-4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189"/>
        <w:gridCol w:w="883"/>
        <w:gridCol w:w="1533"/>
        <w:gridCol w:w="1117"/>
        <w:gridCol w:w="1117"/>
        <w:gridCol w:w="800"/>
        <w:gridCol w:w="850"/>
        <w:gridCol w:w="1000"/>
        <w:gridCol w:w="1383"/>
        <w:gridCol w:w="2133"/>
        <w:gridCol w:w="1990"/>
      </w:tblGrid>
      <w:tr>
        <w:trPr>
          <w:trHeight w:val="595"/>
        </w:trPr>
        <w:tc>
          <w:tcPr>
            <w:tcW w:w="825"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问题类型</w:t>
            </w:r>
            <w:r/>
          </w:p>
        </w:tc>
        <w:tc>
          <w:tcPr>
            <w:tcW w:w="1189"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小类</w:t>
            </w:r>
            <w:r/>
          </w:p>
        </w:tc>
        <w:tc>
          <w:tcPr>
            <w:gridSpan w:val="2"/>
            <w:tcW w:w="2416"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问题描述</w:t>
            </w:r>
            <w:r/>
          </w:p>
        </w:tc>
        <w:tc>
          <w:tcPr>
            <w:tcW w:w="1117"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奖励标准</w:t>
            </w:r>
            <w:r/>
          </w:p>
        </w:tc>
        <w:tc>
          <w:tcPr>
            <w:tcW w:w="1117"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扣罚标准</w:t>
            </w:r>
            <w:r/>
          </w:p>
        </w:tc>
        <w:tc>
          <w:tcPr>
            <w:tcW w:w="800"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上报次数</w:t>
            </w:r>
            <w:r/>
          </w:p>
        </w:tc>
        <w:tc>
          <w:tcPr>
            <w:tcW w:w="850" w:type="dxa"/>
            <w:vAlign w:val="center"/>
            <w:textDirection w:val="lrTb"/>
            <w:noWrap w:val="false"/>
          </w:tcPr>
          <w:p>
            <w:pPr>
              <w:jc w:val="center"/>
              <w:spacing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处理</w:t>
            </w:r>
            <w:r/>
          </w:p>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时限</w:t>
            </w:r>
            <w:r/>
          </w:p>
        </w:tc>
        <w:tc>
          <w:tcPr>
            <w:tcW w:w="1000" w:type="dxa"/>
            <w:vAlign w:val="center"/>
            <w:textDirection w:val="lrTb"/>
            <w:noWrap w:val="false"/>
          </w:tcPr>
          <w:p>
            <w:pPr>
              <w:jc w:val="center"/>
              <w:spacing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整改</w:t>
            </w:r>
            <w:r/>
          </w:p>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时限</w:t>
            </w:r>
            <w:r/>
          </w:p>
        </w:tc>
        <w:tc>
          <w:tcPr>
            <w:tcW w:w="1383"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采集时间</w:t>
            </w:r>
            <w:r/>
          </w:p>
        </w:tc>
        <w:tc>
          <w:tcPr>
            <w:tcW w:w="2133"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实施范围</w:t>
            </w:r>
            <w:r/>
          </w:p>
        </w:tc>
        <w:tc>
          <w:tcPr>
            <w:tcW w:w="1990"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备  注</w:t>
            </w:r>
            <w:r/>
          </w:p>
        </w:tc>
      </w:tr>
      <w:tr>
        <w:trPr>
          <w:trHeight w:val="2154"/>
        </w:trPr>
        <w:tc>
          <w:tcPr>
            <w:tcW w:w="825" w:type="dxa"/>
            <w:vAlign w:val="center"/>
            <w:vMerge w:val="restart"/>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收集点管理</w:t>
            </w:r>
            <w:r/>
          </w:p>
        </w:tc>
        <w:tc>
          <w:tcPr>
            <w:tcW w:w="1189"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督导员配备</w:t>
            </w:r>
            <w:r/>
          </w:p>
        </w:tc>
        <w:tc>
          <w:tcPr>
            <w:gridSpan w:val="2"/>
            <w:tcW w:w="2416"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在收集点开放时段合理配备</w:t>
            </w:r>
            <w:r>
              <w:rPr>
                <w:rFonts w:hint="eastAsia" w:ascii="宋体" w:hAnsi="宋体" w:cs="宋体"/>
                <w:color w:val="auto"/>
                <w:sz w:val="21"/>
                <w:szCs w:val="21"/>
                <w:highlight w:val="none"/>
              </w:rPr>
              <w:t xml:space="preserve">督导员</w:t>
            </w:r>
            <w:r/>
          </w:p>
        </w:tc>
        <w:tc>
          <w:tcPr>
            <w:tcW w:w="1117"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80元/例</w:t>
            </w:r>
            <w:r/>
          </w:p>
        </w:tc>
        <w:tc>
          <w:tcPr>
            <w:tcW w:w="1117"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100元/例</w:t>
            </w:r>
            <w:r/>
          </w:p>
        </w:tc>
        <w:tc>
          <w:tcPr>
            <w:tcW w:w="8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2次</w:t>
            </w:r>
            <w:r/>
          </w:p>
        </w:tc>
        <w:tc>
          <w:tcPr>
            <w:tcW w:w="85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10分钟</w:t>
            </w:r>
            <w:r/>
          </w:p>
        </w:tc>
        <w:tc>
          <w:tcPr>
            <w:tcW w:w="10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4小时</w:t>
            </w:r>
            <w:r/>
          </w:p>
        </w:tc>
        <w:tc>
          <w:tcPr>
            <w:tcW w:w="138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开放时段内</w:t>
            </w:r>
            <w:r/>
          </w:p>
        </w:tc>
        <w:tc>
          <w:tcPr>
            <w:tcW w:w="2133" w:type="dxa"/>
            <w:vAlign w:val="center"/>
            <w:vMerge w:val="restart"/>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收集点</w:t>
            </w:r>
            <w:r/>
          </w:p>
        </w:tc>
        <w:tc>
          <w:tcPr>
            <w:tcW w:w="1990" w:type="dxa"/>
            <w:vAlign w:val="center"/>
            <w:vMerge w:val="restart"/>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收集点开放时段以收集点上公示的时间为准；</w:t>
            </w:r>
            <w:r>
              <w:rPr>
                <w:rFonts w:hint="eastAsia" w:ascii="宋体" w:hAnsi="宋体" w:cs="宋体"/>
                <w:color w:val="auto"/>
                <w:sz w:val="21"/>
                <w:szCs w:val="21"/>
                <w:highlight w:val="none"/>
              </w:rPr>
              <w:t xml:space="preserve">督导员</w:t>
            </w:r>
            <w:r>
              <w:rPr>
                <w:rFonts w:hint="eastAsia" w:ascii="宋体" w:hAnsi="宋体" w:cs="宋体"/>
                <w:color w:val="auto"/>
                <w:sz w:val="21"/>
                <w:szCs w:val="21"/>
                <w:highlight w:val="none"/>
              </w:rPr>
              <w:t xml:space="preserve">配带统一标志。</w:t>
            </w:r>
            <w:r/>
          </w:p>
        </w:tc>
      </w:tr>
      <w:tr>
        <w:trPr>
          <w:trHeight w:val="888"/>
        </w:trPr>
        <w:tc>
          <w:tcPr>
            <w:tcW w:w="825"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189" w:type="dxa"/>
            <w:vAlign w:val="center"/>
            <w:vMerge w:val="restart"/>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收集点室内管理</w:t>
            </w:r>
            <w:r/>
          </w:p>
        </w:tc>
        <w:tc>
          <w:tcPr>
            <w:gridSpan w:val="2"/>
            <w:tcW w:w="2416"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收集容器规范</w:t>
            </w:r>
            <w:r/>
          </w:p>
        </w:tc>
        <w:tc>
          <w:tcPr>
            <w:tcW w:w="1117"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收集容器类别、标志标识不符合要求</w:t>
            </w:r>
            <w:r/>
          </w:p>
        </w:tc>
        <w:tc>
          <w:tcPr>
            <w:tcW w:w="1117"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10元/处</w:t>
            </w:r>
            <w:r/>
          </w:p>
        </w:tc>
        <w:tc>
          <w:tcPr>
            <w:tcW w:w="8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30元/处</w:t>
            </w:r>
            <w:r/>
          </w:p>
        </w:tc>
        <w:tc>
          <w:tcPr>
            <w:tcW w:w="85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2次</w:t>
            </w:r>
            <w:r/>
          </w:p>
        </w:tc>
        <w:tc>
          <w:tcPr>
            <w:tcW w:w="10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10分钟</w:t>
            </w:r>
            <w:r/>
          </w:p>
        </w:tc>
        <w:tc>
          <w:tcPr>
            <w:tcW w:w="138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30分钟</w:t>
            </w:r>
            <w:r/>
          </w:p>
        </w:tc>
        <w:tc>
          <w:tcPr>
            <w:tcW w:w="2133"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990" w:type="dxa"/>
            <w:vAlign w:val="center"/>
            <w:vMerge w:val="restart"/>
            <w:textDirection w:val="lrTb"/>
            <w:noWrap w:val="false"/>
          </w:tcPr>
          <w:p>
            <w:pPr>
              <w:jc w:val="both"/>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使用视频报送，体现收集点号及整体情况；收集点开放时段以收集点上公示的时间为准。</w:t>
            </w:r>
            <w:r/>
          </w:p>
        </w:tc>
      </w:tr>
      <w:tr>
        <w:trPr>
          <w:trHeight w:val="1197"/>
        </w:trPr>
        <w:tc>
          <w:tcPr>
            <w:tcW w:w="825"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189" w:type="dxa"/>
            <w:vAlign w:val="center"/>
            <w:vMerge w:val="continue"/>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883" w:type="dxa"/>
            <w:vAlign w:val="center"/>
            <w:textDirection w:val="lrTb"/>
            <w:noWrap w:val="false"/>
          </w:tcPr>
          <w:p>
            <w:pPr>
              <w:jc w:val="center"/>
              <w:keepLines w:val="0"/>
              <w:keepNext w:val="0"/>
              <w:pageBreakBefore w:val="0"/>
              <w:spacing w:line="4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室内</w:t>
            </w:r>
            <w:r/>
          </w:p>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卫生</w:t>
            </w:r>
            <w:r/>
          </w:p>
        </w:tc>
        <w:tc>
          <w:tcPr>
            <w:tcW w:w="153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收集点室内有积存垃圾、大面积污水等</w:t>
            </w:r>
            <w:r/>
          </w:p>
        </w:tc>
        <w:tc>
          <w:tcPr>
            <w:tcW w:w="1117" w:type="dxa"/>
            <w:vAlign w:val="center"/>
            <w:textDirection w:val="lrTb"/>
            <w:noWrap/>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10元/处</w:t>
            </w:r>
            <w:r/>
          </w:p>
        </w:tc>
        <w:tc>
          <w:tcPr>
            <w:tcW w:w="1117" w:type="dxa"/>
            <w:vAlign w:val="center"/>
            <w:textDirection w:val="lrTb"/>
            <w:noWrap/>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30元/处</w:t>
            </w:r>
            <w:r/>
          </w:p>
        </w:tc>
        <w:tc>
          <w:tcPr>
            <w:tcW w:w="800" w:type="dxa"/>
            <w:vAlign w:val="center"/>
            <w:textDirection w:val="lrTb"/>
            <w:noWrap/>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2次</w:t>
            </w:r>
            <w:r/>
          </w:p>
        </w:tc>
        <w:tc>
          <w:tcPr>
            <w:tcW w:w="85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10分钟</w:t>
            </w:r>
            <w:r/>
          </w:p>
        </w:tc>
        <w:tc>
          <w:tcPr>
            <w:tcW w:w="10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30分钟</w:t>
            </w:r>
            <w:r/>
          </w:p>
        </w:tc>
        <w:tc>
          <w:tcPr>
            <w:tcW w:w="138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开放时段内</w:t>
            </w:r>
            <w:r/>
          </w:p>
        </w:tc>
        <w:tc>
          <w:tcPr>
            <w:tcW w:w="2133"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990"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r>
      <w:tr>
        <w:trPr>
          <w:trHeight w:val="1605"/>
        </w:trPr>
        <w:tc>
          <w:tcPr>
            <w:tcW w:w="825"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189" w:type="dxa"/>
            <w:vAlign w:val="center"/>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收集点管理</w:t>
            </w:r>
            <w:r/>
          </w:p>
        </w:tc>
        <w:tc>
          <w:tcPr>
            <w:tcW w:w="883" w:type="dxa"/>
            <w:vAlign w:val="center"/>
            <w:textDirection w:val="lrTb"/>
            <w:noWrap w:val="false"/>
          </w:tcPr>
          <w:p>
            <w:pPr>
              <w:jc w:val="center"/>
              <w:keepLines w:val="0"/>
              <w:keepNext w:val="0"/>
              <w:pageBreakBefore w:val="0"/>
              <w:spacing w:line="4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设施</w:t>
            </w:r>
            <w:r/>
          </w:p>
          <w:p>
            <w:pPr>
              <w:jc w:val="center"/>
              <w:keepLines w:val="0"/>
              <w:keepNext w:val="0"/>
              <w:pageBreakBefore w:val="0"/>
              <w:spacing w:line="4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w:t>
            </w:r>
            <w:r/>
          </w:p>
        </w:tc>
        <w:tc>
          <w:tcPr>
            <w:tcW w:w="1533" w:type="dxa"/>
            <w:vAlign w:val="center"/>
            <w:textDirection w:val="lrTb"/>
            <w:noWrap w:val="false"/>
          </w:tcPr>
          <w:p>
            <w:pPr>
              <w:jc w:val="center"/>
              <w:keepLines w:val="0"/>
              <w:keepNext w:val="0"/>
              <w:pageBreakBefore w:val="0"/>
              <w:spacing w:line="4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洗手、照明设施正常使用</w:t>
            </w:r>
            <w:r/>
          </w:p>
        </w:tc>
        <w:tc>
          <w:tcPr>
            <w:tcW w:w="1117" w:type="dxa"/>
            <w:vAlign w:val="center"/>
            <w:textDirection w:val="lrTb"/>
            <w:noWrap/>
          </w:tcPr>
          <w:p>
            <w:pPr>
              <w:jc w:val="center"/>
              <w:keepLines w:val="0"/>
              <w:keepNext w:val="0"/>
              <w:pageBreakBefore w:val="0"/>
              <w:spacing w:line="4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10元/处</w:t>
            </w:r>
            <w:r/>
          </w:p>
        </w:tc>
        <w:tc>
          <w:tcPr>
            <w:tcW w:w="1117" w:type="dxa"/>
            <w:vAlign w:val="center"/>
            <w:textDirection w:val="lrTb"/>
            <w:noWrap/>
          </w:tcPr>
          <w:p>
            <w:pPr>
              <w:jc w:val="center"/>
              <w:keepLines w:val="0"/>
              <w:keepNext w:val="0"/>
              <w:pageBreakBefore w:val="0"/>
              <w:spacing w:line="4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30元/处</w:t>
            </w:r>
            <w:r/>
          </w:p>
        </w:tc>
        <w:tc>
          <w:tcPr>
            <w:tcW w:w="800" w:type="dxa"/>
            <w:vAlign w:val="center"/>
            <w:textDirection w:val="lrTb"/>
            <w:noWrap/>
          </w:tcPr>
          <w:p>
            <w:pPr>
              <w:jc w:val="center"/>
              <w:keepLines w:val="0"/>
              <w:keepNext w:val="0"/>
              <w:pageBreakBefore w:val="0"/>
              <w:spacing w:line="4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2次</w:t>
            </w:r>
            <w:r/>
          </w:p>
        </w:tc>
        <w:tc>
          <w:tcPr>
            <w:tcW w:w="850" w:type="dxa"/>
            <w:vAlign w:val="center"/>
            <w:textDirection w:val="lrTb"/>
            <w:noWrap w:val="false"/>
          </w:tcPr>
          <w:p>
            <w:pPr>
              <w:jc w:val="center"/>
              <w:keepLines w:val="0"/>
              <w:keepNext w:val="0"/>
              <w:pageBreakBefore w:val="0"/>
              <w:spacing w:line="4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10分钟</w:t>
            </w:r>
            <w:r/>
          </w:p>
        </w:tc>
        <w:tc>
          <w:tcPr>
            <w:tcW w:w="1000" w:type="dxa"/>
            <w:vAlign w:val="center"/>
            <w:textDirection w:val="lrTb"/>
            <w:noWrap w:val="false"/>
          </w:tcPr>
          <w:p>
            <w:pPr>
              <w:jc w:val="center"/>
              <w:keepLines w:val="0"/>
              <w:keepNext w:val="0"/>
              <w:pageBreakBefore w:val="0"/>
              <w:spacing w:line="4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30分钟</w:t>
            </w:r>
            <w:r/>
          </w:p>
        </w:tc>
        <w:tc>
          <w:tcPr>
            <w:tcW w:w="1383" w:type="dxa"/>
            <w:vAlign w:val="center"/>
            <w:textDirection w:val="lrTb"/>
            <w:noWrap w:val="false"/>
          </w:tcPr>
          <w:p>
            <w:pPr>
              <w:jc w:val="center"/>
              <w:keepLines w:val="0"/>
              <w:keepNext w:val="0"/>
              <w:pageBreakBefore w:val="0"/>
              <w:spacing w:line="4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开放时段内</w:t>
            </w:r>
            <w:r/>
          </w:p>
        </w:tc>
        <w:tc>
          <w:tcPr>
            <w:tcW w:w="2133"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990" w:type="dxa"/>
            <w:vAlign w:val="center"/>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使用视频报送，体现收集点编号及收集点内整体情况</w:t>
            </w:r>
            <w:r/>
          </w:p>
        </w:tc>
      </w:tr>
      <w:tr>
        <w:trPr>
          <w:trHeight w:val="90"/>
        </w:trPr>
        <w:tc>
          <w:tcPr>
            <w:tcW w:w="825"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189"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混收混运</w:t>
            </w:r>
            <w:r/>
          </w:p>
        </w:tc>
        <w:tc>
          <w:tcPr>
            <w:tcW w:w="88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将已分类的生活垃圾混合收运</w:t>
            </w:r>
            <w:r/>
          </w:p>
        </w:tc>
        <w:tc>
          <w:tcPr>
            <w:tcW w:w="153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80元/例</w:t>
            </w:r>
            <w:r/>
          </w:p>
        </w:tc>
        <w:tc>
          <w:tcPr>
            <w:tcW w:w="1117" w:type="dxa"/>
            <w:vAlign w:val="center"/>
            <w:textDirection w:val="lrTb"/>
            <w:noWrap/>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100元/例</w:t>
            </w:r>
            <w:r/>
          </w:p>
        </w:tc>
        <w:tc>
          <w:tcPr>
            <w:tcW w:w="1117" w:type="dxa"/>
            <w:vAlign w:val="center"/>
            <w:textDirection w:val="lrTb"/>
            <w:noWrap/>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1次</w:t>
            </w:r>
            <w:r/>
          </w:p>
        </w:tc>
        <w:tc>
          <w:tcPr>
            <w:tcW w:w="800" w:type="dxa"/>
            <w:vAlign w:val="center"/>
            <w:textDirection w:val="lrTb"/>
            <w:noWrap/>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无</w:t>
            </w:r>
            <w:r/>
          </w:p>
        </w:tc>
        <w:tc>
          <w:tcPr>
            <w:tcW w:w="85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4小时</w:t>
            </w:r>
            <w:r/>
          </w:p>
        </w:tc>
        <w:tc>
          <w:tcPr>
            <w:tcW w:w="10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24小时</w:t>
            </w:r>
            <w:r/>
          </w:p>
        </w:tc>
        <w:tc>
          <w:tcPr>
            <w:tcW w:w="138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开放时段内</w:t>
            </w:r>
            <w:r/>
          </w:p>
        </w:tc>
        <w:tc>
          <w:tcPr>
            <w:tcW w:w="213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举报车辆为市场化企业车辆；使用视频报送，体现远景、近景及不规范车辆车牌号等信息；车身严重脏污指收集车箱体外部存在明显污渍、污垢超过1平方米</w:t>
            </w:r>
            <w:r/>
          </w:p>
        </w:tc>
        <w:tc>
          <w:tcPr>
            <w:tcW w:w="1990" w:type="dxa"/>
            <w:vAlign w:val="center"/>
            <w:vMerge w:val="restart"/>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使用视频报送，体现收集点编号</w:t>
            </w:r>
            <w:r/>
          </w:p>
        </w:tc>
      </w:tr>
      <w:tr>
        <w:trPr>
          <w:trHeight w:val="851"/>
        </w:trPr>
        <w:tc>
          <w:tcPr>
            <w:tcW w:w="825" w:type="dxa"/>
            <w:vAlign w:val="center"/>
            <w:vMerge w:val="restart"/>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分类收运</w:t>
            </w:r>
            <w:r/>
          </w:p>
        </w:tc>
        <w:tc>
          <w:tcPr>
            <w:tcW w:w="1189"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车容车貌不规范</w:t>
            </w:r>
            <w:r/>
          </w:p>
        </w:tc>
        <w:tc>
          <w:tcPr>
            <w:gridSpan w:val="2"/>
            <w:tcW w:w="2416"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车身严重脏污</w:t>
            </w:r>
            <w:r/>
          </w:p>
        </w:tc>
        <w:tc>
          <w:tcPr>
            <w:tcW w:w="1117"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30元/例</w:t>
            </w:r>
            <w:r/>
          </w:p>
        </w:tc>
        <w:tc>
          <w:tcPr>
            <w:tcW w:w="1117"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50元/例</w:t>
            </w:r>
            <w:r/>
          </w:p>
        </w:tc>
        <w:tc>
          <w:tcPr>
            <w:tcW w:w="800" w:type="dxa"/>
            <w:vAlign w:val="center"/>
            <w:textDirection w:val="lrTb"/>
            <w:noWrap/>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1次</w:t>
            </w:r>
            <w:r/>
          </w:p>
        </w:tc>
        <w:tc>
          <w:tcPr>
            <w:tcW w:w="85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无</w:t>
            </w:r>
            <w:r/>
          </w:p>
        </w:tc>
        <w:tc>
          <w:tcPr>
            <w:tcW w:w="10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6小时</w:t>
            </w:r>
            <w:r/>
          </w:p>
        </w:tc>
        <w:tc>
          <w:tcPr>
            <w:tcW w:w="138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24小时</w:t>
            </w:r>
            <w:r/>
          </w:p>
        </w:tc>
        <w:tc>
          <w:tcPr>
            <w:tcW w:w="2133" w:type="dxa"/>
            <w:vAlign w:val="center"/>
            <w:vMerge w:val="restart"/>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主城区</w:t>
            </w:r>
            <w:r/>
          </w:p>
        </w:tc>
        <w:tc>
          <w:tcPr>
            <w:tcW w:w="1990"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r>
      <w:tr>
        <w:trPr>
          <w:trHeight w:val="595"/>
        </w:trPr>
        <w:tc>
          <w:tcPr>
            <w:tcW w:w="825"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189" w:type="dxa"/>
            <w:vAlign w:val="center"/>
            <w:vMerge w:val="restart"/>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车容车貌不规范</w:t>
            </w:r>
            <w:r/>
          </w:p>
        </w:tc>
        <w:tc>
          <w:tcPr>
            <w:gridSpan w:val="2"/>
            <w:tcW w:w="2416"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车身颜色或标志不符合相关标准</w:t>
            </w:r>
            <w:r/>
          </w:p>
        </w:tc>
        <w:tc>
          <w:tcPr>
            <w:tcW w:w="1117"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30元/处</w:t>
            </w:r>
            <w:r/>
          </w:p>
        </w:tc>
        <w:tc>
          <w:tcPr>
            <w:tcW w:w="1117"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50元/处</w:t>
            </w:r>
            <w:r/>
          </w:p>
        </w:tc>
        <w:tc>
          <w:tcPr>
            <w:tcW w:w="8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1次</w:t>
            </w:r>
            <w:r/>
          </w:p>
        </w:tc>
        <w:tc>
          <w:tcPr>
            <w:tcW w:w="85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无</w:t>
            </w:r>
            <w:r/>
          </w:p>
        </w:tc>
        <w:tc>
          <w:tcPr>
            <w:tcW w:w="10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6小时</w:t>
            </w:r>
            <w:r/>
          </w:p>
        </w:tc>
        <w:tc>
          <w:tcPr>
            <w:tcW w:w="138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24小时</w:t>
            </w:r>
            <w:r/>
          </w:p>
        </w:tc>
        <w:tc>
          <w:tcPr>
            <w:tcW w:w="2133"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990"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r>
      <w:tr>
        <w:trPr>
          <w:trHeight w:val="595"/>
        </w:trPr>
        <w:tc>
          <w:tcPr>
            <w:tcW w:w="825"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189"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gridSpan w:val="2"/>
            <w:tcW w:w="2416"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车身油漆脱落达车身面积三分之一以上</w:t>
            </w:r>
            <w:r/>
          </w:p>
        </w:tc>
        <w:tc>
          <w:tcPr>
            <w:tcW w:w="1117"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200元/例</w:t>
            </w:r>
            <w:r/>
          </w:p>
        </w:tc>
        <w:tc>
          <w:tcPr>
            <w:tcW w:w="1117"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200元/例</w:t>
            </w:r>
            <w:r/>
          </w:p>
        </w:tc>
        <w:tc>
          <w:tcPr>
            <w:tcW w:w="8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1次</w:t>
            </w:r>
            <w:r/>
          </w:p>
        </w:tc>
        <w:tc>
          <w:tcPr>
            <w:tcW w:w="85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无</w:t>
            </w:r>
            <w:r/>
          </w:p>
        </w:tc>
        <w:tc>
          <w:tcPr>
            <w:tcW w:w="1000"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48小时</w:t>
            </w:r>
            <w:r/>
          </w:p>
        </w:tc>
        <w:tc>
          <w:tcPr>
            <w:tcW w:w="1383" w:type="dxa"/>
            <w:vAlign w:val="center"/>
            <w:textDirection w:val="lrTb"/>
            <w:noWrap w:val="false"/>
          </w:tcPr>
          <w:p>
            <w:pPr>
              <w:jc w:val="center"/>
              <w:keepLines w:val="0"/>
              <w:keepNext w:val="0"/>
              <w:pageBreakBefore w:val="0"/>
              <w:spacing w:line="40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24小时</w:t>
            </w:r>
            <w:r/>
          </w:p>
        </w:tc>
        <w:tc>
          <w:tcPr>
            <w:tcW w:w="2133"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1990" w:type="dxa"/>
            <w:vAlign w:val="center"/>
            <w:vMerge w:val="continue"/>
            <w:textDirection w:val="lrTb"/>
            <w:noWrap w:val="false"/>
          </w:tcPr>
          <w:p>
            <w:pPr>
              <w:jc w:val="left"/>
              <w:keepLines w:val="0"/>
              <w:keepNext w:val="0"/>
              <w:pageBreakBefore w:val="0"/>
              <w:spacing w:line="40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r>
    </w:tbl>
    <w:p>
      <w:pPr>
        <w:jc w:val="left"/>
        <w:keepLines w:val="0"/>
        <w:keepNext w:val="0"/>
        <w:pageBreakBefore w:val="0"/>
        <w:spacing w:line="400" w:lineRule="atLeast"/>
        <w:widowControl/>
        <w:rPr>
          <w:rFonts w:ascii="宋体" w:hAnsi="宋体" w:cs="宋体"/>
          <w:color w:val="auto"/>
          <w:sz w:val="24"/>
          <w:highlight w:val="none"/>
        </w:rPr>
      </w:pPr>
      <w:r>
        <w:rPr>
          <w:rFonts w:ascii="宋体" w:hAnsi="宋体" w:cs="宋体"/>
          <w:color w:val="auto"/>
          <w:sz w:val="24"/>
          <w:highlight w:val="none"/>
        </w:rPr>
      </w:r>
      <w:r/>
    </w:p>
    <w:p>
      <w:pPr>
        <w:jc w:val="left"/>
        <w:spacing w:line="520" w:lineRule="exact"/>
        <w:widowControl/>
        <w:rPr>
          <w:rFonts w:ascii="宋体" w:hAnsi="宋体" w:cs="宋体"/>
          <w:color w:val="auto"/>
          <w:sz w:val="24"/>
          <w:highlight w:val="none"/>
        </w:rPr>
        <w:outlineLvl w:val="0"/>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附件2：</w:t>
      </w:r>
      <w:r/>
    </w:p>
    <w:p>
      <w:pPr>
        <w:ind w:firstLine="425"/>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生活垃圾分类集中收集点管理考核细则</w:t>
      </w:r>
      <w:r/>
    </w:p>
    <w:tbl>
      <w:tblPr>
        <w:tblStyle w:val="86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1177"/>
        <w:gridCol w:w="799"/>
        <w:gridCol w:w="3239"/>
        <w:gridCol w:w="8851"/>
      </w:tblGrid>
      <w:tr>
        <w:trPr>
          <w:trHeight w:val="295"/>
          <w:tblHeader/>
        </w:trPr>
        <w:tc>
          <w:tcPr>
            <w:gridSpan w:val="2"/>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考核项目</w:t>
            </w:r>
            <w:r/>
          </w:p>
        </w:tc>
        <w:tc>
          <w:tcPr>
            <w:tcBorders>
              <w:top w:val="single" w:color="auto" w:sz="4" w:space="0"/>
              <w:left w:val="none" w:color="000000" w:sz="4" w:space="0"/>
              <w:bottom w:val="single" w:color="auto" w:sz="4" w:space="0"/>
              <w:right w:val="single" w:color="auto" w:sz="4" w:space="0"/>
            </w:tcBorders>
            <w:tcW w:w="3239"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作业要求</w:t>
            </w:r>
            <w:r/>
          </w:p>
        </w:tc>
        <w:tc>
          <w:tcPr>
            <w:tcBorders>
              <w:top w:val="single" w:color="auto" w:sz="4" w:space="0"/>
              <w:left w:val="none" w:color="000000" w:sz="4" w:space="0"/>
              <w:bottom w:val="single" w:color="auto" w:sz="4" w:space="0"/>
              <w:right w:val="single" w:color="auto" w:sz="4" w:space="0"/>
            </w:tcBorders>
            <w:tcW w:w="8851" w:type="dxa"/>
            <w:vAlign w:val="center"/>
            <w:textDirection w:val="lrTb"/>
            <w:noWrap w:val="false"/>
          </w:tcPr>
          <w:p>
            <w:pPr>
              <w:jc w:val="center"/>
              <w:spacing w:line="5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扣分标准</w:t>
            </w:r>
            <w:r/>
          </w:p>
        </w:tc>
      </w:tr>
      <w:tr>
        <w:trPr>
          <w:trHeight w:val="110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管理标准（30分）</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制度管理</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建立岗位培训制度、台账制度</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督导员</w:t>
            </w:r>
            <w:r>
              <w:rPr>
                <w:rFonts w:hint="eastAsia" w:ascii="宋体" w:hAnsi="宋体" w:cs="宋体"/>
                <w:color w:val="auto"/>
                <w:sz w:val="21"/>
                <w:szCs w:val="21"/>
                <w:highlight w:val="none"/>
              </w:rPr>
              <w:t xml:space="preserve">未经培训上岗的，每次扣1-2分，业务不熟悉的，每次扣1分；无相关台账或台账记录不全、不规范的，每次扣1-3分。</w:t>
            </w:r>
            <w:r/>
          </w:p>
        </w:tc>
      </w:tr>
      <w:tr>
        <w:trPr>
          <w:trHeight w:val="82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标志标识管理</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各项生活垃圾分类标志标识符合要求，并保持完好、清晰、整洁</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未按要求设置分类标志，每处扣1-2分，标志错误或不规范的，每处扣1-2分。</w:t>
            </w:r>
            <w:r/>
          </w:p>
        </w:tc>
      </w:tr>
      <w:tr>
        <w:trPr>
          <w:trHeight w:val="164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人员管理</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督导员佩戴工作证，统一服装上岗，保持整洁；在开放时段督导居民分类投放生活垃圾，并对每户投放情况进行记录</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未着统一工作服的，每次扣1分，着装不规范的，每次扣1分；未佩戴工作证的，每次扣1分；未对每户投放情况进行记录的，每次扣1-5分，记录不规范、不准确的，每次扣1-5分。</w:t>
            </w:r>
            <w:r/>
          </w:p>
        </w:tc>
      </w:tr>
      <w:tr>
        <w:trPr>
          <w:trHeight w:val="5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作业工具管理</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作业工具规范,符合使用要求，摆放整齐，不乱塞乱放</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作业工作摆放不整齐，乱塞乱放的，每次扣1-2分。</w:t>
            </w:r>
            <w:r/>
          </w:p>
        </w:tc>
      </w:tr>
      <w:tr>
        <w:trPr>
          <w:trHeight w:val="602"/>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设施标准（30分）</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洗手设施</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保证洗手设施功能完好，开放时段正常使用</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开放时段洗手设施不能正常使用的，每次扣1-2分。</w:t>
            </w:r>
            <w:r/>
          </w:p>
        </w:tc>
      </w:tr>
      <w:tr>
        <w:trPr>
          <w:trHeight w:val="82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照明设施</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保证照明设施功能完好，光线不足条件正常使用</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光线不足条件下未及时开启照明设备，影响居民正常投放的，每次扣1-2分。</w:t>
            </w:r>
            <w:r/>
          </w:p>
        </w:tc>
      </w:tr>
      <w:tr>
        <w:trPr>
          <w:trHeight w:val="110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其他设施要求</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收集点门窗功能完好，采取通风、除臭等措施</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收集点门窗损坏未及时修复的，每处扣3-5分；未采取通风、除臭等措施的，每缺一项扣1-2分，扣完为止。</w:t>
            </w:r>
            <w:r/>
          </w:p>
        </w:tc>
      </w:tr>
      <w:tr>
        <w:trPr>
          <w:trHeight w:val="1645"/>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质量标准（40分）</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环境净</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收集点内应保持场地整洁，定时清洗、消杀，无可视蚊蝇，无散落、存留垃圾和污水，无异味散发，无乱拉乱挂，无积尘、蛛网、杂物及乱贴乱画。</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未定时清洗、消杀的，有可视蚊蝇，有异味的，有积尘或蛛网，每处扣1-2分；散落、留存垃圾或污水，每处1-3分；存在乱拉乱挂、乱堆杂物、乱贴乱画的，每处扣1-2分。</w:t>
            </w:r>
            <w:r/>
          </w:p>
        </w:tc>
      </w:tr>
      <w:tr>
        <w:trPr>
          <w:trHeight w:val="99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垃圾收集容器净</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收集点内收集容器类别设置、摆放符合要求，无缺失、无破损、无乱摆乱放现象，关闭时段收集点门外无垃圾桶；定时清洗、消杀，保持容器外表面干净、无吊挂，无积垢；垃圾应及时清除，无满溢。</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keepLines w:val="0"/>
              <w:keepNext w:val="0"/>
              <w:pageBreakBefore w:val="0"/>
              <w:spacing w:line="46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容器类别设置错误、摆放不符合要求，破损、缺失或乱摆乱放的，每个扣1-2分；关闭时段收集点门外摆放垃圾桶的，每例扣2-3分；未及时清洗、消杀，收集容器外体脏污的，每个扣1-3分；垃圾清除不及时，造成垃圾满溢的，每处扣2-5分。</w:t>
            </w:r>
            <w:r/>
          </w:p>
        </w:tc>
      </w:tr>
    </w:tbl>
    <w:p>
      <w:pPr>
        <w:jc w:val="center"/>
        <w:spacing w:line="520" w:lineRule="exact"/>
        <w:rPr>
          <w:rFonts w:ascii="宋体" w:hAnsi="宋体" w:cs="宋体"/>
          <w:color w:val="auto"/>
          <w:sz w:val="24"/>
          <w:highlight w:val="none"/>
        </w:rPr>
      </w:pPr>
      <w:r>
        <w:rPr>
          <w:rFonts w:ascii="宋体" w:hAnsi="宋体" w:cs="宋体"/>
          <w:color w:val="auto"/>
          <w:sz w:val="24"/>
          <w:highlight w:val="none"/>
        </w:rPr>
      </w:r>
      <w:r/>
    </w:p>
    <w:p>
      <w:pPr>
        <w:spacing w:line="520" w:lineRule="exact"/>
        <w:rPr>
          <w:rFonts w:ascii="宋体" w:hAnsi="宋体" w:cs="宋体"/>
          <w:color w:val="auto"/>
          <w:sz w:val="24"/>
          <w:highlight w:val="none"/>
        </w:rPr>
        <w:outlineLvl w:val="0"/>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附件3：</w:t>
      </w:r>
      <w:r/>
    </w:p>
    <w:p>
      <w:pPr>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生活垃圾分类收运考核细则</w:t>
      </w:r>
      <w:r/>
    </w:p>
    <w:tbl>
      <w:tblPr>
        <w:tblStyle w:val="86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855"/>
        <w:gridCol w:w="996"/>
        <w:gridCol w:w="5168"/>
        <w:gridCol w:w="7047"/>
      </w:tblGrid>
      <w:tr>
        <w:trPr>
          <w:trHeight w:val="566"/>
          <w:tblHeader/>
        </w:trPr>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作业要求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扣分标准</w:t>
            </w:r>
            <w:r/>
          </w:p>
        </w:tc>
      </w:tr>
      <w:tr>
        <w:trPr>
          <w:trHeight w:val="946"/>
        </w:trPr>
        <w:tc>
          <w:tcPr>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keepLines w:val="0"/>
              <w:keepNext w:val="0"/>
              <w:pageBreakBefore w:val="0"/>
              <w:spacing w:after="0" w:line="46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w:t>
            </w:r>
            <w:r/>
          </w:p>
          <w:p>
            <w:pPr>
              <w:jc w:val="center"/>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标准（20分）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6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规范</w:t>
            </w:r>
            <w:r/>
          </w:p>
          <w:p>
            <w:pPr>
              <w:jc w:val="center"/>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监管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收运车辆、设备正常运行，设置车载在线监测系统，并保持正常运行；配备专人对作业情况进行实时监控。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未设置车载在线监测系统的，每例扣5分，在线监测数据未正常运行的，每例扣2分，并移交相关执法单位查处；未按要求配备人员的每例扣2分；</w:t>
            </w:r>
            <w:r/>
          </w:p>
        </w:tc>
      </w:tr>
      <w:tr>
        <w:trPr>
          <w:trHeight w:val="1570"/>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设备（含车辆）管理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设备、车辆操作人员经培训合格后方可上岗，保证安全运输、文明驾驶；定期维修、保养生活垃圾分类收集、运输设施、设备，建立生活垃圾转运车辆保养及运行台账，实行一车一档，不得人为破坏。</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操作人员未经培训上岗的，每例扣2分，业务不熟悉的，每次扣1分；存在不文明驾驶行为的，每例1-5分；未按时维修、保养生活垃圾分类收集、运输设施、设备的，每例扣2-5分；未设立车辆保养和运行台账的，每例扣1-3分；人为损坏生活垃圾收输设施、设备的，每例扣2-10分。</w:t>
            </w:r>
            <w:r/>
          </w:p>
        </w:tc>
      </w:tr>
      <w:tr>
        <w:trPr>
          <w:trHeight w:val="1180"/>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6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车容</w:t>
            </w:r>
            <w:r/>
          </w:p>
          <w:p>
            <w:pPr>
              <w:jc w:val="center"/>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车貌</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作业时保持车容整洁，标志清晰、规范、齐全，车体无破损、无锈蚀,车辆渗滤液收集器完好，及时检查、定期更换密封条。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标志不规范的，每例5分，不清晰、不齐全每例扣2分；车体破损、锈蚀每例扣2-5分，车体不洁、车容不整每例扣2-5分。</w:t>
            </w:r>
            <w:r/>
          </w:p>
        </w:tc>
      </w:tr>
      <w:tr>
        <w:trPr>
          <w:trHeight w:val="1049"/>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6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人员</w:t>
            </w:r>
            <w:r/>
          </w:p>
          <w:p>
            <w:pPr>
              <w:jc w:val="center"/>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管理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作业时应穿戴统一、有警示标识的工作服，并保持着装整洁。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未按规定着装的，每例扣2分；工作服装脏污每例扣1分。</w:t>
            </w:r>
            <w:r/>
          </w:p>
        </w:tc>
      </w:tr>
      <w:tr>
        <w:trPr>
          <w:trHeight w:val="1794"/>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keepLines w:val="0"/>
              <w:keepNext w:val="0"/>
              <w:pageBreakBefore w:val="0"/>
              <w:spacing w:after="0" w:line="46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作业</w:t>
            </w:r>
            <w:r/>
          </w:p>
          <w:p>
            <w:pPr>
              <w:jc w:val="center"/>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标准</w:t>
            </w:r>
            <w:r/>
          </w:p>
          <w:p>
            <w:pPr>
              <w:jc w:val="center"/>
              <w:keepLines w:val="0"/>
              <w:keepNext w:val="0"/>
              <w:pageBreakBefore w:val="0"/>
              <w:spacing w:after="0" w:line="460" w:lineRule="atLeas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80分</w:t>
            </w:r>
            <w:r>
              <w:rPr>
                <w:rFonts w:hint="eastAsia" w:ascii="宋体" w:hAnsi="宋体" w:cs="宋体"/>
                <w:color w:val="auto"/>
                <w:sz w:val="21"/>
                <w:szCs w:val="21"/>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6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作业</w:t>
            </w:r>
            <w:r/>
          </w:p>
          <w:p>
            <w:pPr>
              <w:jc w:val="center"/>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模式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厨余垃圾应采用“以桶换桶”方式收集，按照车辆核定桶数装载。其他垃圾采用桶车对接方式收集，收集过程中确保垃圾不落地。可回收物、有害垃圾使用专用车辆定期清运或采用预约上门收集方式收运。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作业模式不符合要求的，每例扣5-10分。</w:t>
            </w:r>
            <w:r/>
          </w:p>
        </w:tc>
      </w:tr>
      <w:tr>
        <w:trPr>
          <w:trHeight w:val="72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keepLines w:val="0"/>
              <w:keepNext w:val="0"/>
              <w:pageBreakBefore w:val="0"/>
              <w:spacing w:after="0" w:line="46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规范</w:t>
            </w:r>
            <w:r/>
          </w:p>
          <w:p>
            <w:pPr>
              <w:jc w:val="center"/>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按照规定的时间、路线和要求及时、分类收运生活垃圾。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未按规定的时间、路线和要求作业的，每例扣2-5分；未及时收运生活垃圾的，每例扣2-10分。</w:t>
            </w:r>
            <w:r/>
          </w:p>
        </w:tc>
      </w:tr>
      <w:tr>
        <w:trPr>
          <w:trHeight w:val="946"/>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收集车辆运输过程中，车辆容器应保持密闭状态，车体无外挂、夹带垃圾杂物，无冒、扬、撒、拖、挂、滴、漏现象。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车辆容器未密闭的，每例扣2-5分；车辆存在外挂、夹带垃圾杂物，冒、扬、撒、拖、挂、滴、漏等现象的，每例扣2-5分。</w:t>
            </w:r>
            <w:r/>
          </w:p>
        </w:tc>
      </w:tr>
      <w:tr>
        <w:trPr>
          <w:trHeight w:val="104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收集作业结束后，应当将收集容器复位、保洁，并清扫、清洗场地，保持场地环境整洁，应确保无散落垃圾和积留污水。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作业后未将收集容器复位的，每例扣1-2分；场地不洁，有散落垃圾、积留污水的，每例扣2-5分。</w:t>
            </w:r>
            <w:r/>
          </w:p>
        </w:tc>
      </w:tr>
      <w:tr>
        <w:trPr>
          <w:trHeight w:val="1863"/>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6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文明</w:t>
            </w:r>
            <w:r/>
          </w:p>
          <w:p>
            <w:pPr>
              <w:jc w:val="center"/>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作业过程中必须严格遵守交通法规；避免或者减少噪声扰民和交通拥堵；收集作业过程中不得影响道路通行，禁止占用两条及以上车道进行作业；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60" w:lineRule="atLeas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未按交通法规行车，每辆次扣10分；有噪声扰民、造成交通拥堵等行为的，每辆次扣2-10分； </w:t>
            </w:r>
            <w:r/>
          </w:p>
        </w:tc>
      </w:tr>
    </w:tbl>
    <w:p>
      <w:pPr>
        <w:spacing w:line="520" w:lineRule="exact"/>
        <w:rPr>
          <w:rFonts w:ascii="宋体" w:hAnsi="宋体" w:cs="宋体"/>
          <w:color w:val="auto"/>
          <w:sz w:val="24"/>
          <w:highlight w:val="none"/>
        </w:rPr>
        <w:outlineLvl w:val="0"/>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附件4：厨余垃圾驳运点考核细则</w:t>
      </w:r>
      <w:bookmarkStart w:id="33" w:name="_GoBack"/>
      <w:r/>
      <w:bookmarkEnd w:id="33"/>
      <w:r/>
      <w:r/>
    </w:p>
    <w:tbl>
      <w:tblPr>
        <w:tblStyle w:val="867"/>
        <w:tblpPr w:horzAnchor="page" w:tblpX="1905" w:vertAnchor="text" w:tblpY="297"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06"/>
        <w:gridCol w:w="717"/>
        <w:gridCol w:w="3159"/>
        <w:gridCol w:w="9392"/>
      </w:tblGrid>
      <w:tr>
        <w:trPr>
          <w:trHeight w:val="569"/>
          <w:tblHeader/>
        </w:trPr>
        <w:tc>
          <w:tcPr>
            <w:gridSpan w:val="2"/>
            <w:tcBorders>
              <w:top w:val="single" w:color="auto" w:sz="4" w:space="0"/>
              <w:left w:val="single" w:color="auto" w:sz="4" w:space="0"/>
              <w:bottom w:val="single" w:color="auto" w:sz="4" w:space="0"/>
              <w:right w:val="single" w:color="auto" w:sz="4" w:space="0"/>
            </w:tcBorders>
            <w:tcW w:w="1510" w:type="dxa"/>
            <w:vAlign w:val="center"/>
            <w:textDirection w:val="lrTb"/>
            <w:noWrap w:val="false"/>
          </w:tcPr>
          <w:p>
            <w:pPr>
              <w:jc w:val="center"/>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3159" w:type="dxa"/>
            <w:vAlign w:val="center"/>
            <w:textDirection w:val="lrTb"/>
            <w:noWrap w:val="false"/>
          </w:tcPr>
          <w:p>
            <w:pPr>
              <w:jc w:val="center"/>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作业要求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扣分标准</w:t>
            </w:r>
            <w:r/>
          </w:p>
        </w:tc>
      </w:tr>
      <w:tr>
        <w:trPr>
          <w:trHeight w:val="973"/>
        </w:trPr>
        <w:tc>
          <w:tcPr>
            <w:tcBorders>
              <w:top w:val="none" w:color="000000" w:sz="4" w:space="0"/>
              <w:left w:val="single" w:color="auto" w:sz="4" w:space="0"/>
              <w:right w:val="single" w:color="auto" w:sz="4" w:space="0"/>
            </w:tcBorders>
            <w:tcW w:w="0" w:type="auto"/>
            <w:vAlign w:val="center"/>
            <w:vMerge w:val="restart"/>
            <w:textDirection w:val="lrTb"/>
            <w:noWrap w:val="false"/>
          </w:tcPr>
          <w:p>
            <w:pPr>
              <w:jc w:val="center"/>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p>
            <w:pPr>
              <w:jc w:val="center"/>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标准</w:t>
            </w:r>
            <w:r/>
          </w:p>
          <w:p>
            <w:pPr>
              <w:jc w:val="center"/>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制度管理</w:t>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点内运行台账记录规范、完整、准确，对厨余垃圾的来源、数量、去向等信息进行记录规范、完整、准确；建立安全作业制度、安全培训记录</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both"/>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无相关台账，每次扣5分；记录不规范、不完整、不准确的，每次扣2-5分；台账记录造假的，每次扣2-10分。</w:t>
            </w:r>
            <w:r/>
          </w:p>
        </w:tc>
      </w:tr>
      <w:tr>
        <w:trPr>
          <w:trHeight w:val="838"/>
        </w:trPr>
        <w:tc>
          <w:tcPr>
            <w:tcBorders>
              <w:left w:val="single" w:color="auto" w:sz="4" w:space="0"/>
              <w:right w:val="single" w:color="auto" w:sz="4" w:space="0"/>
            </w:tcBorders>
            <w:tcW w:w="0" w:type="auto"/>
            <w:vAlign w:val="center"/>
            <w:vMerge w:val="continue"/>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w:t>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管理人员统一服装上岗，保持整洁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both"/>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未着统一工作服的，每次扣3分，着装不规范的，每次扣1分。</w:t>
            </w:r>
            <w:r/>
          </w:p>
        </w:tc>
      </w:tr>
      <w:tr>
        <w:trPr>
          <w:trHeight w:val="1109"/>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工具管理</w:t>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作业工具规范,符合使用要求，摆放整齐，不乱塞乱放；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both"/>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作业工作摆放不整齐，乱塞乱放的，每次扣1-2分。</w:t>
            </w:r>
            <w:r/>
          </w:p>
        </w:tc>
      </w:tr>
      <w:tr>
        <w:trPr>
          <w:trHeight w:val="973"/>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作业</w:t>
            </w:r>
            <w:r/>
          </w:p>
          <w:p>
            <w:pPr>
              <w:jc w:val="center"/>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规范</w:t>
            </w:r>
            <w:r/>
          </w:p>
          <w:p>
            <w:pPr>
              <w:jc w:val="center"/>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（70分)</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设施要求</w:t>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应通风良好，配备清洗设备，并应有除臭、除虫和污水排放措施</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both"/>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未配备清洗设备的，每次扣10分；未采取除臭、除虫和污水排放措施的，每次每项扣2-10分。</w:t>
            </w:r>
            <w:r/>
          </w:p>
        </w:tc>
      </w:tr>
      <w:tr>
        <w:trPr>
          <w:trHeight w:val="129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作业要求</w:t>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进入驳运点的厨余垃圾及时转运，转运过程中垃圾不落地，不得产生扬尘、明显异味，噪声不得超标。</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both"/>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驳运点厨余垃圾未及时驳运的，每例扣5-10分；转运作业不规范，有洒落垃圾的，每例扣3-10分；产生扬尘、明显异味的，每例3-10分；噪声超标的，每例扣2-10分。</w:t>
            </w:r>
            <w:r/>
          </w:p>
        </w:tc>
      </w:tr>
      <w:tr>
        <w:trPr>
          <w:trHeight w:val="65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717" w:type="dxa"/>
            <w:vAlign w:val="center"/>
            <w:vMerge w:val="restart"/>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质量要求</w:t>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定时清洗、消杀，无明显异味，无可视蚊蝇、活鼠等；</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存在明显异味的，每次扣2-5分；有可视蚊蝇、活鼠的，每次扣2-5分。</w:t>
            </w:r>
            <w:r/>
          </w:p>
        </w:tc>
      </w:tr>
      <w:tr>
        <w:trPr>
          <w:trHeight w:val="110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717" w:type="dxa"/>
            <w:vAlign w:val="center"/>
            <w:vMerge w:val="continue"/>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应保持场地整洁，无乱拉乱挂，无垃圾及污水污渍；</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有乱拉乱挂现象的，每次的2-5分；场地不洁，有垃圾、污水污渍的，不足1平方米的，每处扣2分，超过1平方米的，每处扣5分。</w:t>
            </w:r>
            <w:r/>
          </w:p>
        </w:tc>
      </w:tr>
      <w:tr>
        <w:trPr>
          <w:trHeight w:val="662"/>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717" w:type="dxa"/>
            <w:vAlign w:val="center"/>
            <w:vMerge w:val="continue"/>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159" w:type="dxa"/>
            <w:vAlign w:val="center"/>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全区每月厨余分出量占比不低于全区生活垃圾总量的4%</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val="false"/>
          </w:tcPr>
          <w:p>
            <w:pPr>
              <w:jc w:val="left"/>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业主每月定期抽查，厨余分出量占比低于4%的每次扣2分</w:t>
            </w:r>
            <w:r/>
          </w:p>
        </w:tc>
      </w:tr>
    </w:tbl>
    <w:p>
      <w:pPr>
        <w:spacing w:line="520" w:lineRule="exact"/>
        <w:rPr>
          <w:rFonts w:hint="eastAsia" w:ascii="宋体" w:hAnsi="宋体" w:cs="宋体"/>
          <w:color w:val="auto"/>
          <w:sz w:val="24"/>
          <w:highlight w:val="none"/>
        </w:rPr>
        <w:sectPr>
          <w:footnotePr/>
          <w:endnotePr/>
          <w:type w:val="nextPage"/>
          <w:pgSz w:w="16838" w:h="11906" w:orient="landscape"/>
          <w:pgMar w:top="1800" w:right="1440" w:bottom="1800" w:left="1440" w:header="851" w:footer="992" w:gutter="0"/>
          <w:cols w:num="1" w:sep="0" w:space="425" w:equalWidth="1"/>
          <w:docGrid w:linePitch="360"/>
        </w:sectPr>
        <w:outlineLvl w:val="0"/>
      </w:pPr>
      <w:r>
        <w:rPr>
          <w:rFonts w:hint="eastAsia" w:ascii="宋体" w:hAnsi="宋体" w:cs="宋体"/>
          <w:color w:val="auto"/>
          <w:sz w:val="24"/>
          <w:highlight w:val="none"/>
        </w:rPr>
      </w:r>
      <w:r/>
    </w:p>
    <w:p>
      <w:pPr>
        <w:spacing w:line="240" w:lineRule="auto"/>
        <w:rPr>
          <w:rFonts w:ascii="Times New Roman" w:hAnsi="Times New Roman" w:eastAsia="宋体" w:cs="Times New Roman"/>
          <w:color w:val="auto"/>
          <w:sz w:val="21"/>
          <w:szCs w:val="24"/>
          <w:highlight w:val="none"/>
          <w:lang w:val="en-US" w:eastAsia="zh-CN" w:bidi="ar-SA"/>
        </w:rPr>
        <w:outlineLvl w:val="0"/>
      </w:pPr>
      <w:r>
        <w:rPr>
          <w:rFonts w:hint="eastAsia" w:ascii="宋体" w:hAnsi="宋体" w:cs="宋体"/>
          <w:color w:val="auto"/>
          <w:sz w:val="24"/>
          <w:highlight w:val="none"/>
        </w:rPr>
        <w:t xml:space="preserve">附件5：再生资源回收体系建设考核细则</w:t>
      </w:r>
      <w:r/>
    </w:p>
    <w:tbl>
      <w:tblPr>
        <w:tblStyle w:val="867"/>
        <w:tblpPr w:horzAnchor="margin" w:tblpXSpec="left" w:vertAnchor="text" w:tblpY="576" w:leftFromText="180" w:topFromText="0" w:rightFromText="180" w:bottomFromText="0"/>
        <w:tblW w:w="14613" w:type="dxa"/>
        <w:tblInd w:w="0" w:type="dxa"/>
        <w:tblLayout w:type="fixed"/>
        <w:tblCellMar>
          <w:left w:w="108" w:type="dxa"/>
          <w:top w:w="0" w:type="dxa"/>
          <w:right w:w="108" w:type="dxa"/>
          <w:bottom w:w="0" w:type="dxa"/>
        </w:tblCellMar>
        <w:tblLook w:val="04A0" w:firstRow="1" w:lastRow="0" w:firstColumn="1" w:lastColumn="0" w:noHBand="0" w:noVBand="1"/>
      </w:tblPr>
      <w:tblGrid>
        <w:gridCol w:w="1213"/>
        <w:gridCol w:w="850"/>
        <w:gridCol w:w="3183"/>
        <w:gridCol w:w="9367"/>
      </w:tblGrid>
      <w:tr>
        <w:trPr>
          <w:trHeight w:val="558"/>
        </w:trPr>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auto" w:sz="4" w:space="0"/>
              <w:bottom w:val="single" w:color="auto" w:sz="4" w:space="0"/>
              <w:right w:val="single" w:color="auto" w:sz="4" w:space="0"/>
            </w:tcBorders>
            <w:tcW w:w="850" w:type="dxa"/>
            <w:textDirection w:val="lrTb"/>
            <w:noWrap w:val="false"/>
          </w:tcPr>
          <w:p>
            <w:pPr>
              <w:jc w:val="both"/>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jc w:val="center"/>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要求</w:t>
            </w:r>
            <w:r/>
          </w:p>
        </w:tc>
        <w:tc>
          <w:tcPr>
            <w:tcBorders>
              <w:top w:val="single" w:color="auto" w:sz="4" w:space="0"/>
              <w:left w:val="none" w:color="000000" w:sz="4" w:space="0"/>
              <w:bottom w:val="single" w:color="auto" w:sz="4" w:space="0"/>
              <w:right w:val="single" w:color="auto" w:sz="4" w:space="0"/>
            </w:tcBorders>
            <w:tcW w:w="9367" w:type="dxa"/>
            <w:vAlign w:val="center"/>
            <w:textDirection w:val="lrTb"/>
            <w:noWrap w:val="false"/>
          </w:tcPr>
          <w:p>
            <w:pPr>
              <w:jc w:val="center"/>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扣分标准</w:t>
            </w:r>
            <w:r/>
          </w:p>
        </w:tc>
      </w:tr>
      <w:tr>
        <w:trPr>
          <w:trHeight w:val="538"/>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人员配备</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配置满足项目运营的服务人员，再生资源回收站回收员、分拣中心、收运员、车辆驾驶等人员配备齐全，素质良好。人员统一服装上岗，保持整洁。</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人员数量未满足运营要求，业主抽查1个小时未到达指定现场1 次扣1分。未着统一工作服的，每次扣2分，着装不规范的，每次扣1分。</w:t>
            </w:r>
            <w:r/>
          </w:p>
        </w:tc>
      </w:tr>
      <w:tr>
        <w:trPr>
          <w:trHeight w:val="808"/>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设置配备</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中转站配备称重、暂存、积分兑换、垃圾分类宣传、便民服务功能。分拣中心配备相应的打包分拣设备。</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设备配置未满足正常运营要求的，每少1个扣0.5分。“中转站”、分拣中心未能正常运转，每个扣2 分。外观标识、内部配套设施等不统一不规范，每发现一次扣2 分。</w:t>
            </w:r>
            <w:r/>
          </w:p>
        </w:tc>
      </w:tr>
      <w:tr>
        <w:trPr>
          <w:trHeight w:val="538"/>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站点管理</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3183" w:type="dxa"/>
            <w:vAlign w:val="bottom"/>
            <w:textDirection w:val="lrTb"/>
            <w:noWrap/>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站点管理。中转站统一形象、规范管理。服务站门外无垃 圾堆积现象，服务站内回收垃 圾分类摆放整齐。</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中转站形象不统一、管理不规范，每发现1次扣2分。不清运不及时导致堆积，每发现1次扣2分。</w:t>
            </w:r>
            <w:r/>
          </w:p>
        </w:tc>
      </w:tr>
      <w:tr>
        <w:trPr>
          <w:trHeight w:val="1583"/>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车辆管理</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车辆外观干净整齐，分类标志标识和监督电话 在车身明显位置，规范停车及作业</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车配置数量未达到要求的，每少1个扣2分。车辆外观不整洁、不统一不规范的，每发现一次扣1分。</w:t>
            </w:r>
            <w:r/>
          </w:p>
        </w:tc>
      </w:tr>
      <w:tr>
        <w:trPr>
          <w:trHeight w:val="1104"/>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信息化平台功能完备性</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具备 “预约回收、积分管理、数据监测” 功能实现 “投放 - 清运 - 分拣” 数据实时同步。车辆安装GPS、AI识别，</w:t>
            </w:r>
            <w:r>
              <w:rPr>
                <w:rFonts w:hint="eastAsia" w:ascii="宋体" w:hAnsi="宋体" w:eastAsia="宋体" w:cs="宋体"/>
                <w:color w:val="auto"/>
                <w:sz w:val="21"/>
                <w:szCs w:val="21"/>
                <w:highlight w:val="none"/>
              </w:rPr>
              <w:t xml:space="preserve">实时记录清运路线、垃圾装卸过程。</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功能缺失 1 项扣 3 分；数据断链 1 处扣 2 分，完整率每低 5% 扣 1 分</w:t>
            </w:r>
            <w:r/>
          </w:p>
        </w:tc>
      </w:tr>
      <w:tr>
        <w:trPr>
          <w:trHeight w:val="1433"/>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安全管理</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落实安全生产管 理各项制度。</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未定期开展消防安全培训、考核回收人员安全技能掌握情况的， 每发现一次扣1分；发现消防安全隐患的，每发现一次扣2分； 未按照要求定期检查灭火器压强情况并做好记录的（至少半月一次），每发现一次扣1分；未 落实安全生产责任，发生一般安 全生产责任事故，每发生一起扣 1分。</w:t>
            </w:r>
            <w:r/>
          </w:p>
        </w:tc>
      </w:tr>
      <w:tr>
        <w:trPr>
          <w:trHeight w:val="1710"/>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服务质量</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人员须规范 着装，APP、小程序、电话等多渠道服务，在用户呼叫后及时 上门收集，及时兑换积分。</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工作期间服务人员未按要求穿 着工作服，每发现1例扣1分， 服务人员无故拒绝上门，核实1 例扣2分。兑换不及时核实1 例扣2分。</w:t>
            </w:r>
            <w:r/>
          </w:p>
        </w:tc>
      </w:tr>
    </w:tbl>
    <w:p>
      <w:pPr>
        <w:keepLines w:val="0"/>
        <w:keepNext w:val="0"/>
        <w:pageBreakBefore w:val="0"/>
        <w:spacing w:line="460" w:lineRule="exact"/>
        <w:rPr>
          <w:rFonts w:hint="eastAsia" w:ascii="宋体" w:hAnsi="宋体" w:cs="宋体"/>
          <w:color w:val="auto"/>
          <w:sz w:val="21"/>
          <w:szCs w:val="21"/>
          <w:highlight w:val="none"/>
        </w:rPr>
        <w:sectPr>
          <w:footnotePr/>
          <w:endnotePr/>
          <w:type w:val="nextPage"/>
          <w:pgSz w:w="16838" w:h="11906" w:orient="landscape"/>
          <w:pgMar w:top="1800" w:right="1440" w:bottom="1800" w:left="1440" w:header="283" w:footer="0" w:gutter="0"/>
          <w:cols w:num="1" w:sep="0" w:space="425" w:equalWidth="1"/>
          <w:docGrid w:linePitch="360"/>
        </w:sectPr>
        <w:outlineLvl w:val="0"/>
      </w:pPr>
      <w:r>
        <w:rPr>
          <w:rFonts w:hint="eastAsia" w:ascii="宋体" w:hAnsi="宋体" w:cs="宋体"/>
          <w:color w:val="auto"/>
          <w:sz w:val="21"/>
          <w:szCs w:val="21"/>
          <w:highlight w:val="none"/>
        </w:rPr>
      </w:r>
      <w:r/>
    </w:p>
    <w:p>
      <w:pPr>
        <w:spacing w:line="520" w:lineRule="exact"/>
        <w:rPr>
          <w:rFonts w:ascii="宋体" w:hAnsi="宋体" w:cs="宋体"/>
          <w:color w:val="auto"/>
          <w:sz w:val="24"/>
          <w:highlight w:val="none"/>
        </w:rPr>
        <w:outlineLvl w:val="0"/>
      </w:pPr>
      <w:r>
        <w:rPr>
          <w:rFonts w:hint="eastAsia" w:ascii="宋体" w:hAnsi="宋体" w:cs="宋体"/>
          <w:color w:val="auto"/>
          <w:sz w:val="24"/>
          <w:highlight w:val="none"/>
        </w:rPr>
        <w:t xml:space="preserve">附件6：</w:t>
      </w:r>
      <w:r/>
    </w:p>
    <w:p>
      <w:pPr>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重点项目考核细则</w:t>
      </w:r>
      <w:r/>
    </w:p>
    <w:tbl>
      <w:tblPr>
        <w:tblStyle w:val="867"/>
        <w:tblW w:w="8508" w:type="dxa"/>
        <w:tblInd w:w="108" w:type="dxa"/>
        <w:tblLayout w:type="fixed"/>
        <w:tblCellMar>
          <w:left w:w="108" w:type="dxa"/>
          <w:top w:w="0" w:type="dxa"/>
          <w:right w:w="108" w:type="dxa"/>
          <w:bottom w:w="0" w:type="dxa"/>
        </w:tblCellMar>
        <w:tblLook w:val="04A0" w:firstRow="1" w:lastRow="0" w:firstColumn="1" w:lastColumn="0" w:noHBand="0" w:noVBand="1"/>
      </w:tblPr>
      <w:tblGrid>
        <w:gridCol w:w="768"/>
        <w:gridCol w:w="2144"/>
        <w:gridCol w:w="5596"/>
      </w:tblGrid>
      <w:tr>
        <w:trPr>
          <w:trHeight w:val="595"/>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2144" w:type="dxa"/>
            <w:vAlign w:val="center"/>
            <w:textDirection w:val="lrTb"/>
            <w:noWrap w:val="false"/>
          </w:tcPr>
          <w:p>
            <w:pPr>
              <w:jc w:val="center"/>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作业要求</w:t>
            </w:r>
            <w:r/>
          </w:p>
        </w:tc>
        <w:tc>
          <w:tcPr>
            <w:tcBorders>
              <w:top w:val="single" w:color="auto" w:sz="4" w:space="0"/>
              <w:left w:val="none" w:color="000000" w:sz="4" w:space="0"/>
              <w:bottom w:val="single" w:color="auto" w:sz="4" w:space="0"/>
              <w:right w:val="single" w:color="auto" w:sz="4" w:space="0"/>
            </w:tcBorders>
            <w:tcW w:w="5596" w:type="dxa"/>
            <w:vAlign w:val="center"/>
            <w:textDirection w:val="lrTb"/>
            <w:noWrap w:val="false"/>
          </w:tcPr>
          <w:p>
            <w:pPr>
              <w:jc w:val="center"/>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扣分标准</w:t>
            </w:r>
            <w:r/>
          </w:p>
        </w:tc>
      </w:tr>
      <w:tr>
        <w:trPr>
          <w:trHeight w:val="480"/>
        </w:trPr>
        <w:tc>
          <w:tcPr>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分类收运</w:t>
            </w:r>
            <w:r/>
          </w:p>
        </w:tc>
        <w:tc>
          <w:tcPr>
            <w:tcBorders>
              <w:top w:val="none" w:color="000000" w:sz="4" w:space="0"/>
              <w:left w:val="none" w:color="000000" w:sz="4" w:space="0"/>
              <w:bottom w:val="single" w:color="auto" w:sz="4" w:space="0"/>
              <w:right w:val="single" w:color="auto" w:sz="4" w:space="0"/>
            </w:tcBorders>
            <w:tcW w:w="2144" w:type="dxa"/>
            <w:vAlign w:val="center"/>
            <w:textDirection w:val="lrTb"/>
            <w:noWrap w:val="false"/>
          </w:tcPr>
          <w:p>
            <w:pPr>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严禁将已分类的生活垃圾混合收运。</w:t>
            </w:r>
            <w:r/>
          </w:p>
        </w:tc>
        <w:tc>
          <w:tcPr>
            <w:tcBorders>
              <w:top w:val="none" w:color="000000" w:sz="4" w:space="0"/>
              <w:left w:val="none" w:color="000000" w:sz="4" w:space="0"/>
              <w:bottom w:val="single" w:color="auto" w:sz="4" w:space="0"/>
              <w:right w:val="single" w:color="auto" w:sz="4" w:space="0"/>
            </w:tcBorders>
            <w:tcW w:w="5596" w:type="dxa"/>
            <w:vAlign w:val="center"/>
            <w:textDirection w:val="lrTb"/>
            <w:noWrap w:val="false"/>
          </w:tcPr>
          <w:p>
            <w:pPr>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将已分类的生活垃圾混收混运的，每次扣5分。</w:t>
            </w:r>
            <w:r/>
          </w:p>
        </w:tc>
      </w:tr>
      <w:tr>
        <w:trPr>
          <w:trHeight w:val="720"/>
        </w:trPr>
        <w:tc>
          <w:tcPr>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人员管理</w:t>
            </w:r>
            <w:r/>
          </w:p>
        </w:tc>
        <w:tc>
          <w:tcPr>
            <w:tcBorders>
              <w:top w:val="none" w:color="000000" w:sz="4" w:space="0"/>
              <w:left w:val="none" w:color="000000" w:sz="4" w:space="0"/>
              <w:bottom w:val="single" w:color="auto" w:sz="4" w:space="0"/>
              <w:right w:val="single" w:color="auto" w:sz="4" w:space="0"/>
            </w:tcBorders>
            <w:tcW w:w="2144" w:type="dxa"/>
            <w:vAlign w:val="bottom"/>
            <w:textDirection w:val="lrTb"/>
            <w:noWrap w:val="false"/>
          </w:tcPr>
          <w:p>
            <w:pPr>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收集点开放时段配备专人引导，驳运点设置专人管理</w:t>
            </w:r>
            <w:r/>
          </w:p>
        </w:tc>
        <w:tc>
          <w:tcPr>
            <w:tcBorders>
              <w:top w:val="none" w:color="000000" w:sz="4" w:space="0"/>
              <w:left w:val="none" w:color="000000" w:sz="4" w:space="0"/>
              <w:bottom w:val="single" w:color="auto" w:sz="4" w:space="0"/>
              <w:right w:val="single" w:color="auto" w:sz="4" w:space="0"/>
            </w:tcBorders>
            <w:tcW w:w="5596" w:type="dxa"/>
            <w:vAlign w:val="center"/>
            <w:textDirection w:val="lrTb"/>
            <w:noWrap w:val="false"/>
          </w:tcPr>
          <w:p>
            <w:pPr>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收集点开放时段</w:t>
            </w:r>
            <w:r>
              <w:rPr>
                <w:rFonts w:hint="eastAsia" w:ascii="宋体" w:hAnsi="宋体" w:cs="宋体"/>
                <w:color w:val="auto"/>
                <w:sz w:val="24"/>
                <w:highlight w:val="none"/>
              </w:rPr>
              <w:t xml:space="preserve">未合理配备督导员</w:t>
            </w:r>
            <w:r>
              <w:rPr>
                <w:rFonts w:hint="eastAsia" w:ascii="宋体" w:hAnsi="宋体" w:cs="宋体"/>
                <w:color w:val="auto"/>
                <w:sz w:val="24"/>
                <w:highlight w:val="none"/>
              </w:rPr>
              <w:t xml:space="preserve">的，或驳运点无人管理的，每次扣5分。</w:t>
            </w:r>
            <w:r/>
          </w:p>
        </w:tc>
      </w:tr>
      <w:tr>
        <w:trPr>
          <w:trHeight w:val="480"/>
        </w:trPr>
        <w:tc>
          <w:tcPr>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有责投诉</w:t>
            </w:r>
            <w:r/>
          </w:p>
        </w:tc>
        <w:tc>
          <w:tcPr>
            <w:tcBorders>
              <w:top w:val="none" w:color="000000" w:sz="4" w:space="0"/>
              <w:left w:val="none" w:color="000000" w:sz="4" w:space="0"/>
              <w:bottom w:val="single" w:color="auto" w:sz="4" w:space="0"/>
              <w:right w:val="single" w:color="auto" w:sz="4" w:space="0"/>
            </w:tcBorders>
            <w:tcW w:w="2144" w:type="dxa"/>
            <w:vAlign w:val="center"/>
            <w:textDirection w:val="lrTb"/>
            <w:noWrap/>
          </w:tcPr>
          <w:p>
            <w:pPr>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应主动接受上级部门及社会各界监督，有责投诉问题应在规定的期限内整改；市级以上检查不失责任分。</w:t>
            </w:r>
            <w:r/>
          </w:p>
        </w:tc>
        <w:tc>
          <w:tcPr>
            <w:tcBorders>
              <w:top w:val="none" w:color="000000" w:sz="4" w:space="0"/>
              <w:left w:val="none" w:color="000000" w:sz="4" w:space="0"/>
              <w:bottom w:val="single" w:color="auto" w:sz="4" w:space="0"/>
              <w:right w:val="single" w:color="auto" w:sz="4" w:space="0"/>
            </w:tcBorders>
            <w:tcW w:w="5596" w:type="dxa"/>
            <w:vAlign w:val="center"/>
            <w:textDirection w:val="lrTb"/>
            <w:noWrap w:val="false"/>
          </w:tcPr>
          <w:p>
            <w:pPr>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trHeight w:val="1249"/>
        </w:trPr>
        <w:tc>
          <w:tcPr>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整改落实</w:t>
            </w:r>
            <w:r/>
          </w:p>
        </w:tc>
        <w:tc>
          <w:tcPr>
            <w:tcBorders>
              <w:top w:val="none" w:color="000000" w:sz="4" w:space="0"/>
              <w:left w:val="none" w:color="000000" w:sz="4" w:space="0"/>
              <w:bottom w:val="single" w:color="auto" w:sz="4" w:space="0"/>
              <w:right w:val="single" w:color="auto" w:sz="4" w:space="0"/>
            </w:tcBorders>
            <w:tcW w:w="2144" w:type="dxa"/>
            <w:vAlign w:val="center"/>
            <w:textDirection w:val="lrTb"/>
            <w:noWrap w:val="false"/>
          </w:tcPr>
          <w:p>
            <w:pPr>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作业单位应及时对反馈的重点问题进行有效整改；按时、按要求处理数字化信息采集案件。</w:t>
            </w:r>
            <w:r/>
          </w:p>
        </w:tc>
        <w:tc>
          <w:tcPr>
            <w:tcBorders>
              <w:top w:val="none" w:color="000000" w:sz="4" w:space="0"/>
              <w:left w:val="none" w:color="000000" w:sz="4" w:space="0"/>
              <w:bottom w:val="single" w:color="auto" w:sz="4" w:space="0"/>
              <w:right w:val="single" w:color="auto" w:sz="4" w:space="0"/>
            </w:tcBorders>
            <w:tcW w:w="5596" w:type="dxa"/>
            <w:vAlign w:val="center"/>
            <w:textDirection w:val="lrTb"/>
            <w:noWrap w:val="false"/>
          </w:tcPr>
          <w:p>
            <w:pPr>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针对各考核主体反馈重点问题，未能在合同规定时限内完成有效整改，每次扣1分；未及时处理案件造成案件超时的每个扣1分；处理不符合要求造成返工的每次扣1分。</w:t>
            </w:r>
            <w:r/>
          </w:p>
        </w:tc>
      </w:tr>
      <w:tr>
        <w:trPr>
          <w:trHeight w:val="983"/>
        </w:trPr>
        <w:tc>
          <w:tcPr>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配合监督检查</w:t>
            </w:r>
            <w:r/>
          </w:p>
        </w:tc>
        <w:tc>
          <w:tcPr>
            <w:tcBorders>
              <w:top w:val="none" w:color="000000" w:sz="4" w:space="0"/>
              <w:left w:val="none" w:color="000000" w:sz="4" w:space="0"/>
              <w:bottom w:val="single" w:color="auto" w:sz="4" w:space="0"/>
              <w:right w:val="single" w:color="auto" w:sz="4" w:space="0"/>
            </w:tcBorders>
            <w:tcW w:w="2144" w:type="dxa"/>
            <w:vAlign w:val="center"/>
            <w:textDirection w:val="lrTb"/>
            <w:noWrap w:val="false"/>
          </w:tcPr>
          <w:p>
            <w:pPr>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自觉接受相关考核主体的监督考核</w:t>
            </w:r>
            <w:r/>
          </w:p>
        </w:tc>
        <w:tc>
          <w:tcPr>
            <w:tcBorders>
              <w:top w:val="none" w:color="000000" w:sz="4" w:space="0"/>
              <w:left w:val="none" w:color="000000" w:sz="4" w:space="0"/>
              <w:bottom w:val="single" w:color="auto" w:sz="4" w:space="0"/>
              <w:right w:val="single" w:color="auto" w:sz="4" w:space="0"/>
            </w:tcBorders>
            <w:tcW w:w="5596" w:type="dxa"/>
            <w:vAlign w:val="center"/>
            <w:textDirection w:val="lrTb"/>
            <w:noWrap w:val="false"/>
          </w:tcPr>
          <w:p>
            <w:pPr>
              <w:jc w:val="left"/>
              <w:keepLines w:val="0"/>
              <w:keepNext w:val="0"/>
              <w:pageBreakBefore w:val="0"/>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阻挠妨碍考核人员正常检查工作的每次扣2-5分。</w:t>
            </w:r>
            <w:r/>
          </w:p>
        </w:tc>
      </w:tr>
    </w:tbl>
    <w:p>
      <w:pPr>
        <w:pStyle w:val="886"/>
        <w:ind w:left="0" w:right="-1260"/>
        <w:spacing w:line="520" w:lineRule="exact"/>
        <w:rPr>
          <w:color w:val="auto"/>
          <w:highlight w:val="none"/>
        </w:rPr>
      </w:pPr>
      <w:r>
        <w:rPr>
          <w:rFonts w:hint="eastAsia" w:ascii="宋体" w:hAnsi="宋体" w:cs="宋体"/>
          <w:color w:val="auto"/>
          <w:sz w:val="24"/>
          <w:highlight w:val="none"/>
        </w:rPr>
        <w:t xml:space="preserve">备注：上述重点项目考核细则，在分数计算时，直接从月度考核总分中扣减。</w:t>
      </w:r>
      <w:r/>
    </w:p>
    <w:p>
      <w:pPr>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288" w:lineRule="auto"/>
        <w:rPr>
          <w:rFonts w:hint="eastAsia" w:ascii="宋体" w:hAnsi="宋体" w:eastAsia="宋体" w:cs="宋体"/>
          <w:b/>
          <w:bCs w:val="0"/>
          <w:color w:val="auto"/>
          <w:sz w:val="32"/>
          <w:szCs w:val="32"/>
          <w:highlight w:val="none"/>
          <w:lang w:val="en-US" w:eastAsia="zh-CN" w:bidi="ar-SA"/>
        </w:rPr>
      </w:pPr>
      <w:r>
        <w:rPr>
          <w:rFonts w:hint="eastAsia" w:ascii="宋体" w:hAnsi="宋体" w:cs="宋体"/>
          <w:b/>
          <w:color w:val="auto"/>
          <w:sz w:val="32"/>
          <w:szCs w:val="32"/>
          <w:highlight w:val="none"/>
        </w:rPr>
        <w:t xml:space="preserve">第六章 </w:t>
      </w:r>
      <w:bookmarkStart w:id="18" w:name="_Toc324452802"/>
      <w:r/>
      <w:bookmarkEnd w:id="18"/>
      <w:r/>
      <w:bookmarkStart w:id="19" w:name="_Toc322457054"/>
      <w:r/>
      <w:bookmarkEnd w:id="19"/>
      <w:r>
        <w:rPr>
          <w:rFonts w:hint="eastAsia" w:ascii="宋体" w:hAnsi="宋体" w:eastAsia="宋体" w:cs="宋体"/>
          <w:b/>
          <w:bCs w:val="0"/>
          <w:color w:val="auto"/>
          <w:sz w:val="32"/>
          <w:szCs w:val="32"/>
          <w:highlight w:val="none"/>
          <w:lang w:val="en-US" w:eastAsia="zh-CN" w:bidi="ar-SA"/>
        </w:rPr>
        <w:t xml:space="preserve">采购需求</w:t>
      </w:r>
      <w:r/>
    </w:p>
    <w:p>
      <w:pPr>
        <w:ind w:firstLine="482"/>
        <w:spacing w:after="0" w:line="520" w:lineRule="exact"/>
        <w:rPr>
          <w:rFonts w:hint="default" w:ascii="宋体" w:hAnsi="宋体" w:cs="宋体"/>
          <w:b/>
          <w:color w:val="auto"/>
          <w:sz w:val="24"/>
          <w:highlight w:val="none"/>
        </w:rPr>
      </w:pPr>
      <w:r>
        <w:rPr>
          <w:rFonts w:hint="eastAsia" w:ascii="宋体" w:hAnsi="宋体" w:cs="宋体"/>
          <w:b/>
          <w:color w:val="auto"/>
          <w:sz w:val="24"/>
          <w:highlight w:val="none"/>
        </w:rPr>
        <w:t xml:space="preserve">一、项目概况</w:t>
      </w:r>
      <w:r/>
    </w:p>
    <w:p>
      <w:pPr>
        <w:numPr>
          <w:ilvl w:val="0"/>
          <w:numId w:val="1"/>
        </w:numPr>
        <w:ind w:left="1320" w:hanging="360"/>
        <w:jc w:val="both"/>
        <w:spacing w:line="520" w:lineRule="exact"/>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项目名称：云龙区居民小区生活垃圾分类服务项目</w:t>
      </w:r>
      <w:r/>
    </w:p>
    <w:p>
      <w:pPr>
        <w:ind w:firstLine="960"/>
        <w:spacing w:line="520" w:lineRule="exact"/>
        <w:rPr>
          <w:rFonts w:hint="default" w:ascii="宋体" w:hAnsi="宋体" w:eastAsia="宋体" w:cs="宋体"/>
          <w:bCs/>
          <w:color w:val="auto"/>
          <w:sz w:val="24"/>
          <w:highlight w:val="none"/>
          <w:lang w:val="en-US" w:eastAsia="zh-CN" w:bidi="ar-SA"/>
        </w:rPr>
        <w:outlineLvl w:val="1"/>
      </w:pPr>
      <w:r>
        <w:rPr>
          <w:rFonts w:hint="eastAsia" w:ascii="宋体" w:hAnsi="宋体" w:eastAsia="宋体" w:cs="宋体"/>
          <w:bCs/>
          <w:color w:val="auto"/>
          <w:sz w:val="24"/>
          <w:highlight w:val="none"/>
          <w:lang w:val="en-US" w:eastAsia="zh-CN" w:bidi="ar-SA"/>
        </w:rPr>
        <w:t xml:space="preserve">2、本项目不接受超过1671万元（采购项目预算金额）的报价</w:t>
      </w:r>
      <w:r/>
    </w:p>
    <w:p>
      <w:pPr>
        <w:ind w:firstLine="600"/>
        <w:spacing w:line="520" w:lineRule="exact"/>
        <w:rPr>
          <w:rFonts w:hint="default" w:ascii="宋体" w:hAnsi="宋体" w:eastAsia="宋体" w:cs="宋体"/>
          <w:color w:val="auto"/>
          <w:sz w:val="24"/>
          <w:highlight w:val="none"/>
          <w:lang w:val="en-US" w:eastAsia="zh-CN" w:bidi="ar-SA"/>
        </w:rPr>
        <w:outlineLvl w:val="1"/>
      </w:pPr>
      <w:r>
        <w:rPr>
          <w:rFonts w:hint="eastAsia" w:ascii="宋体" w:hAnsi="宋体" w:eastAsia="宋体" w:cs="宋体"/>
          <w:color w:val="auto"/>
          <w:sz w:val="24"/>
          <w:highlight w:val="none"/>
          <w:lang w:val="en-US" w:eastAsia="zh-CN" w:bidi="ar-SA"/>
        </w:rPr>
        <w:t xml:space="preserve">注：报价包括项目涉及的一切税、费、投标人利润等全部费用。采购人不再支付报价以外的任何费用。</w:t>
      </w:r>
      <w:r/>
    </w:p>
    <w:p>
      <w:pPr>
        <w:ind w:firstLine="960"/>
        <w:spacing w:line="520" w:lineRule="exact"/>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bCs/>
          <w:color w:val="auto"/>
          <w:sz w:val="24"/>
          <w:highlight w:val="none"/>
          <w:lang w:val="en-US" w:eastAsia="zh-CN" w:bidi="ar-SA"/>
        </w:rPr>
        <w:t xml:space="preserve">3、合同履行期限：</w:t>
      </w:r>
      <w:r>
        <w:rPr>
          <w:rFonts w:hint="eastAsia" w:ascii="宋体" w:hAnsi="宋体" w:eastAsia="宋体" w:cs="宋体"/>
          <w:color w:val="auto"/>
          <w:sz w:val="24"/>
          <w:szCs w:val="24"/>
          <w:highlight w:val="none"/>
          <w:lang w:val="en-US" w:eastAsia="zh-CN" w:bidi="ar-SA"/>
        </w:rPr>
        <w:t xml:space="preserve"> 2026 年 2 月 1 日 至2026年12月31日</w:t>
      </w:r>
      <w:r/>
    </w:p>
    <w:p>
      <w:pPr>
        <w:ind w:firstLine="482"/>
        <w:spacing w:after="0" w:line="520" w:lineRule="exact"/>
        <w:rPr>
          <w:rFonts w:hint="default" w:ascii="宋体" w:hAnsi="宋体" w:cs="宋体"/>
          <w:b/>
          <w:color w:val="auto"/>
          <w:sz w:val="24"/>
          <w:highlight w:val="none"/>
        </w:rPr>
      </w:pPr>
      <w:r>
        <w:rPr>
          <w:rFonts w:hint="eastAsia" w:ascii="宋体" w:hAnsi="宋体" w:cs="宋体"/>
          <w:b/>
          <w:color w:val="auto"/>
          <w:sz w:val="24"/>
          <w:highlight w:val="none"/>
        </w:rPr>
        <w:t xml:space="preserve">二、项目项目背景</w:t>
      </w:r>
      <w:r/>
    </w:p>
    <w:p>
      <w:pPr>
        <w:ind w:firstLine="600"/>
        <w:spacing w:line="520" w:lineRule="exact"/>
        <w:rPr>
          <w:rFonts w:hint="default" w:ascii="宋体" w:hAnsi="宋体" w:eastAsia="宋体" w:cs="宋体"/>
          <w:color w:val="auto"/>
          <w:sz w:val="24"/>
          <w:highlight w:val="none"/>
          <w:lang w:val="en-US" w:eastAsia="zh-CN" w:bidi="ar-SA"/>
        </w:rPr>
        <w:outlineLvl w:val="1"/>
      </w:pPr>
      <w:r/>
      <w:bookmarkStart w:id="20" w:name="_Toc101843124"/>
      <w:r/>
      <w:bookmarkStart w:id="21" w:name="_Toc175644388"/>
      <w:r/>
      <w:bookmarkStart w:id="22" w:name="_Toc101951257"/>
      <w:r/>
      <w:bookmarkStart w:id="23" w:name="_Toc401575143"/>
      <w:r/>
      <w:bookmarkStart w:id="24" w:name="_Toc101775124"/>
      <w:r/>
      <w:bookmarkStart w:id="25" w:name="_Toc403491565"/>
      <w:r>
        <w:rPr>
          <w:rFonts w:hint="eastAsia" w:ascii="宋体" w:hAnsi="宋体" w:eastAsia="宋体" w:cs="宋体"/>
          <w:color w:val="auto"/>
          <w:sz w:val="24"/>
          <w:highlight w:val="none"/>
          <w:lang w:val="en-US" w:eastAsia="zh-CN" w:bidi="ar-SA"/>
        </w:rPr>
        <w:t xml:space="preserve">为深入贯彻落实习近平总书记关于垃圾分类系列重要指示批示精神和国家、省、市有关决策部署要求，进一步推动城区居民小区生活垃圾分类体系常态高效运行，持续提高生活垃圾减量化、资源化、无害化水平。结合我区实际制定本方案。</w:t>
      </w:r>
      <w:r/>
    </w:p>
    <w:p>
      <w:pPr>
        <w:ind w:firstLine="600"/>
        <w:spacing w:line="520" w:lineRule="exact"/>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三、服务范围</w:t>
      </w:r>
      <w:r/>
    </w:p>
    <w:p>
      <w:pPr>
        <w:ind w:firstLine="600"/>
        <w:spacing w:line="520" w:lineRule="exact"/>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云龙区辖区</w:t>
      </w:r>
      <w:r/>
    </w:p>
    <w:p>
      <w:pPr>
        <w:ind w:firstLine="600"/>
        <w:spacing w:line="520" w:lineRule="exact"/>
        <w:rPr>
          <w:rFonts w:hint="default" w:ascii="宋体" w:hAnsi="宋体" w:eastAsia="宋体" w:cs="宋体"/>
          <w:color w:val="auto"/>
          <w:sz w:val="24"/>
          <w:highlight w:val="none"/>
          <w:lang w:val="en-US" w:eastAsia="zh-CN" w:bidi="ar-SA"/>
        </w:rPr>
        <w:outlineLvl w:val="1"/>
      </w:pPr>
      <w:r>
        <w:rPr>
          <w:rFonts w:hint="eastAsia" w:ascii="宋体" w:hAnsi="宋体" w:eastAsia="宋体" w:cs="宋体"/>
          <w:color w:val="auto"/>
          <w:sz w:val="24"/>
          <w:highlight w:val="none"/>
          <w:lang w:val="en-US" w:eastAsia="zh-CN" w:bidi="ar-SA"/>
        </w:rPr>
        <w:t xml:space="preserve">1、居民小区（含城中村）的厨余垃圾、有害垃圾、其他垃圾、可回收物、大件垃圾收运。</w:t>
      </w:r>
      <w:r/>
    </w:p>
    <w:p>
      <w:pPr>
        <w:ind w:firstLine="600"/>
        <w:spacing w:line="520" w:lineRule="exact"/>
        <w:rPr>
          <w:rFonts w:hint="default" w:ascii="宋体" w:hAnsi="宋体" w:eastAsia="宋体" w:cs="宋体"/>
          <w:color w:val="auto"/>
          <w:sz w:val="24"/>
          <w:highlight w:val="none"/>
          <w:lang w:val="en-US" w:eastAsia="zh-CN" w:bidi="ar-SA"/>
        </w:rPr>
        <w:outlineLvl w:val="1"/>
      </w:pPr>
      <w:r>
        <w:rPr>
          <w:rFonts w:hint="eastAsia" w:ascii="宋体" w:hAnsi="宋体" w:eastAsia="宋体" w:cs="宋体"/>
          <w:color w:val="auto"/>
          <w:sz w:val="24"/>
          <w:highlight w:val="none"/>
          <w:lang w:val="en-US" w:eastAsia="zh-CN" w:bidi="ar-SA"/>
        </w:rPr>
        <w:t xml:space="preserve">2、无物业居民小区（含城中村）生活垃圾收集亭房环境卫生管理，包括日常保洁、桶边督导、亭房设施维护维修等。</w:t>
      </w:r>
      <w:r/>
    </w:p>
    <w:p>
      <w:pPr>
        <w:ind w:firstLine="600"/>
        <w:spacing w:line="520" w:lineRule="exact"/>
        <w:rPr>
          <w:rFonts w:hint="default" w:ascii="宋体" w:hAnsi="宋体" w:eastAsia="宋体" w:cs="宋体"/>
          <w:color w:val="auto"/>
          <w:sz w:val="24"/>
          <w:highlight w:val="none"/>
          <w:lang w:val="en-US" w:eastAsia="zh-CN" w:bidi="ar-SA"/>
        </w:rPr>
        <w:outlineLvl w:val="1"/>
      </w:pPr>
      <w:r>
        <w:rPr>
          <w:rFonts w:hint="eastAsia" w:ascii="宋体" w:hAnsi="宋体" w:eastAsia="宋体" w:cs="宋体"/>
          <w:color w:val="auto"/>
          <w:sz w:val="24"/>
          <w:highlight w:val="none"/>
          <w:lang w:val="en-US" w:eastAsia="zh-CN" w:bidi="ar-SA"/>
        </w:rPr>
        <w:t xml:space="preserve">3、厨余垃圾驳运点专人管理，负责驳运点环境卫生管理、消杀除臭、厨余垃圾计量、安全管理等工作。</w:t>
      </w:r>
      <w:r/>
    </w:p>
    <w:p>
      <w:pPr>
        <w:ind w:firstLine="600"/>
        <w:spacing w:line="520" w:lineRule="exact"/>
        <w:rPr>
          <w:rFonts w:hint="default" w:ascii="宋体" w:hAnsi="宋体" w:eastAsia="宋体" w:cs="宋体"/>
          <w:color w:val="auto"/>
          <w:sz w:val="24"/>
          <w:highlight w:val="none"/>
          <w:lang w:val="en-US" w:eastAsia="zh-CN" w:bidi="ar-SA"/>
        </w:rPr>
        <w:outlineLvl w:val="1"/>
      </w:pPr>
      <w:r>
        <w:rPr>
          <w:rFonts w:hint="eastAsia" w:ascii="宋体" w:hAnsi="宋体" w:eastAsia="宋体" w:cs="宋体"/>
          <w:color w:val="auto"/>
          <w:sz w:val="24"/>
          <w:highlight w:val="none"/>
          <w:lang w:val="en-US" w:eastAsia="zh-CN" w:bidi="ar-SA"/>
        </w:rPr>
        <w:t xml:space="preserve">4、生活垃圾分类宣传，指导、督促居民分类投放。</w:t>
      </w:r>
      <w:r/>
    </w:p>
    <w:p>
      <w:pPr>
        <w:ind w:firstLine="600"/>
        <w:spacing w:line="520" w:lineRule="exact"/>
        <w:rPr>
          <w:rFonts w:hint="default" w:ascii="宋体" w:hAnsi="宋体" w:eastAsia="宋体" w:cs="宋体"/>
          <w:color w:val="auto"/>
          <w:sz w:val="24"/>
          <w:highlight w:val="none"/>
          <w:lang w:val="en-US" w:eastAsia="zh-CN" w:bidi="ar-SA"/>
        </w:rPr>
        <w:outlineLvl w:val="1"/>
      </w:pPr>
      <w:r>
        <w:rPr>
          <w:rFonts w:hint="eastAsia" w:ascii="宋体" w:hAnsi="宋体" w:eastAsia="宋体" w:cs="宋体"/>
          <w:color w:val="auto"/>
          <w:sz w:val="24"/>
          <w:highlight w:val="none"/>
          <w:lang w:val="en-US" w:eastAsia="zh-CN" w:bidi="ar-SA"/>
        </w:rPr>
        <w:t xml:space="preserve">5、大气污染、雨雪冰冻、突发应急处理事项等保障；节假日、重大活动等保障。</w:t>
      </w:r>
      <w:r/>
    </w:p>
    <w:p>
      <w:pPr>
        <w:ind w:firstLine="600"/>
        <w:spacing w:line="520" w:lineRule="exact"/>
        <w:rPr>
          <w:rFonts w:hint="default" w:ascii="宋体" w:hAnsi="宋体" w:eastAsia="宋体" w:cs="宋体"/>
          <w:color w:val="auto"/>
          <w:sz w:val="24"/>
          <w:highlight w:val="none"/>
          <w:lang w:val="en-US" w:eastAsia="zh-CN" w:bidi="ar-SA"/>
        </w:rPr>
        <w:outlineLvl w:val="1"/>
      </w:pPr>
      <w:r>
        <w:rPr>
          <w:rFonts w:hint="eastAsia" w:ascii="宋体" w:hAnsi="宋体" w:eastAsia="宋体" w:cs="宋体"/>
          <w:color w:val="auto"/>
          <w:sz w:val="24"/>
          <w:highlight w:val="none"/>
          <w:lang w:val="en-US" w:eastAsia="zh-CN" w:bidi="ar-SA"/>
        </w:rPr>
        <w:t xml:space="preserve">6、数字化案件、12345 等投诉处理。</w:t>
      </w:r>
      <w:r/>
    </w:p>
    <w:p>
      <w:pPr>
        <w:ind w:firstLine="600"/>
        <w:spacing w:line="520" w:lineRule="exact"/>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四、服务内容及要求</w:t>
      </w:r>
      <w:r/>
    </w:p>
    <w:p>
      <w:pPr>
        <w:ind w:firstLine="600"/>
        <w:spacing w:line="520" w:lineRule="exact"/>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（一）居民小区垃圾分类</w:t>
      </w:r>
      <w:r/>
    </w:p>
    <w:p>
      <w:pPr>
        <w:ind w:firstLine="600"/>
        <w:spacing w:line="520" w:lineRule="exact"/>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1.收集房保洁：按时开放、关闭收集房</w:t>
      </w:r>
      <w:r>
        <w:rPr>
          <w:rFonts w:hint="eastAsia" w:ascii="宋体" w:hAnsi="宋体" w:eastAsia="宋体" w:cs="宋体"/>
          <w:color w:val="auto"/>
          <w:sz w:val="24"/>
          <w:highlight w:val="none"/>
          <w:lang w:val="en-US" w:eastAsia="zh-CN" w:bidi="ar-SA"/>
        </w:rPr>
        <w:t xml:space="preserve">。垃圾分类收集容器功能完好、无破损不满溢、种类齐全；垃圾分类投放设施摆放整齐，无随意摆放在收集房以外位置现象垃圾分类收集容器干净整洁。确保收集房洗手池、照明设施等设施齐全且能正常使用。</w:t>
      </w:r>
      <w:r>
        <w:rPr>
          <w:rFonts w:hint="eastAsia" w:ascii="宋体" w:hAnsi="宋体" w:eastAsia="宋体" w:cs="宋体"/>
          <w:color w:val="auto"/>
          <w:sz w:val="24"/>
          <w:szCs w:val="24"/>
          <w:highlight w:val="none"/>
          <w:lang w:val="en-US" w:eastAsia="zh-CN" w:bidi="ar-SA"/>
        </w:rPr>
        <w:t xml:space="preserve">各类标志标识完好、规范。</w:t>
      </w:r>
      <w:r>
        <w:rPr>
          <w:rFonts w:hint="eastAsia" w:ascii="宋体" w:hAnsi="宋体" w:eastAsia="宋体" w:cs="宋体"/>
          <w:color w:val="auto"/>
          <w:sz w:val="24"/>
          <w:highlight w:val="none"/>
          <w:lang w:val="en-US" w:eastAsia="zh-CN" w:bidi="ar-SA"/>
        </w:rPr>
        <w:t xml:space="preserve">做好设施维护及环境卫生管理工作，保持点位设施、设备原貌；收集房配备清洗、消杀物品、确保收集房及周边的环境干净整洁，确保无暴露垃圾、无污水污渍、无臭气臭味等。</w:t>
      </w:r>
      <w:r/>
    </w:p>
    <w:p>
      <w:pPr>
        <w:ind w:firstLine="480"/>
        <w:jc w:val="both"/>
        <w:spacing w:line="520" w:lineRule="exact"/>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2.收集房督导：居民小区（含城中村等，以下同）收集房开放时间根据小区居民投放习惯合理设置；</w:t>
      </w:r>
      <w:r>
        <w:rPr>
          <w:rFonts w:hint="eastAsia" w:ascii="宋体" w:hAnsi="宋体" w:eastAsia="宋体" w:cs="宋体"/>
          <w:color w:val="auto"/>
          <w:sz w:val="24"/>
          <w:szCs w:val="24"/>
          <w:highlight w:val="none"/>
          <w:lang w:val="en-US" w:eastAsia="zh-CN" w:bidi="ar-SA"/>
        </w:rPr>
        <w:t xml:space="preserve">因地制宜推行专人定时督导。定期对督导员进行</w:t>
      </w:r>
      <w:r>
        <w:rPr>
          <w:rFonts w:ascii="宋体" w:hAnsi="宋体" w:eastAsia="宋体" w:cs="宋体"/>
          <w:color w:val="auto"/>
          <w:sz w:val="24"/>
          <w:szCs w:val="24"/>
          <w:highlight w:val="none"/>
          <w:lang w:val="en-US" w:eastAsia="zh-CN" w:bidi="ar-SA"/>
        </w:rPr>
        <w:t xml:space="preserve">分类标准、沟通技巧专项培训，加强</w:t>
      </w:r>
      <w:r>
        <w:rPr>
          <w:rFonts w:hint="eastAsia" w:ascii="宋体" w:hAnsi="宋体" w:eastAsia="宋体" w:cs="宋体"/>
          <w:color w:val="auto"/>
          <w:sz w:val="24"/>
          <w:szCs w:val="24"/>
          <w:highlight w:val="none"/>
          <w:lang w:val="en-US" w:eastAsia="zh-CN" w:bidi="ar-SA"/>
        </w:rPr>
        <w:t xml:space="preserve">督导员</w:t>
      </w:r>
      <w:r>
        <w:rPr>
          <w:rFonts w:ascii="宋体" w:hAnsi="宋体" w:eastAsia="宋体" w:cs="宋体"/>
          <w:color w:val="auto"/>
          <w:sz w:val="24"/>
          <w:szCs w:val="24"/>
          <w:highlight w:val="none"/>
          <w:lang w:val="en-US" w:eastAsia="zh-CN" w:bidi="ar-SA"/>
        </w:rPr>
        <w:t xml:space="preserve">队伍建设</w:t>
      </w:r>
      <w:r>
        <w:rPr>
          <w:rFonts w:hint="eastAsia" w:ascii="宋体" w:hAnsi="宋体" w:eastAsia="宋体" w:cs="宋体"/>
          <w:color w:val="auto"/>
          <w:sz w:val="24"/>
          <w:szCs w:val="24"/>
          <w:highlight w:val="none"/>
          <w:lang w:val="en-US" w:eastAsia="zh-CN" w:bidi="ar-SA"/>
        </w:rPr>
        <w:t xml:space="preserve">，打造一批</w:t>
      </w:r>
      <w:r>
        <w:rPr>
          <w:rFonts w:ascii="宋体" w:hAnsi="宋体" w:eastAsia="宋体" w:cs="宋体"/>
          <w:color w:val="auto"/>
          <w:sz w:val="24"/>
          <w:szCs w:val="24"/>
          <w:highlight w:val="none"/>
          <w:lang w:val="en-US" w:eastAsia="zh-CN" w:bidi="ar-SA"/>
        </w:rPr>
        <w:t xml:space="preserve">“能开口</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会引导”扎根社区前端的专业力量</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通过宣传、指导、监督等方式，</w:t>
      </w:r>
      <w:r>
        <w:rPr>
          <w:rFonts w:hint="eastAsia" w:ascii="宋体" w:hAnsi="宋体" w:eastAsia="宋体" w:cs="宋体"/>
          <w:color w:val="auto"/>
          <w:sz w:val="24"/>
          <w:szCs w:val="24"/>
          <w:highlight w:val="none"/>
          <w:lang w:val="en-US" w:eastAsia="zh-CN" w:bidi="ar-SA"/>
        </w:rPr>
        <w:t xml:space="preserve">引导居民会分类、主动分类，</w:t>
      </w:r>
      <w:r>
        <w:rPr>
          <w:rFonts w:ascii="宋体" w:hAnsi="宋体" w:eastAsia="宋体" w:cs="宋体"/>
          <w:color w:val="auto"/>
          <w:sz w:val="24"/>
          <w:szCs w:val="24"/>
          <w:highlight w:val="none"/>
          <w:lang w:val="en-US" w:eastAsia="zh-CN" w:bidi="ar-SA"/>
        </w:rPr>
        <w:t xml:space="preserve">提升</w:t>
      </w:r>
      <w:r>
        <w:rPr>
          <w:rFonts w:hint="eastAsia" w:ascii="宋体" w:hAnsi="宋体" w:eastAsia="宋体" w:cs="宋体"/>
          <w:color w:val="auto"/>
          <w:sz w:val="24"/>
          <w:szCs w:val="24"/>
          <w:highlight w:val="none"/>
          <w:lang w:val="en-US" w:eastAsia="zh-CN" w:bidi="ar-SA"/>
        </w:rPr>
        <w:t xml:space="preserve">分出</w:t>
      </w:r>
      <w:r>
        <w:rPr>
          <w:rFonts w:ascii="宋体" w:hAnsi="宋体" w:eastAsia="宋体" w:cs="宋体"/>
          <w:color w:val="auto"/>
          <w:sz w:val="24"/>
          <w:szCs w:val="24"/>
          <w:highlight w:val="none"/>
          <w:lang w:val="en-US" w:eastAsia="zh-CN" w:bidi="ar-SA"/>
        </w:rPr>
        <w:t xml:space="preserve">率。</w:t>
      </w:r>
      <w:r>
        <w:rPr>
          <w:rFonts w:hint="eastAsia" w:ascii="宋体" w:hAnsi="宋体" w:eastAsia="宋体" w:cs="宋体"/>
          <w:color w:val="auto"/>
          <w:sz w:val="24"/>
          <w:szCs w:val="24"/>
          <w:highlight w:val="none"/>
          <w:lang w:val="en-US" w:eastAsia="zh-CN" w:bidi="ar-SA"/>
        </w:rPr>
        <w:t xml:space="preserve">督导员应着装统一，佩戴工作证，有明显所属单位标志。</w:t>
      </w:r>
      <w:r/>
    </w:p>
    <w:p>
      <w:pPr>
        <w:ind w:firstLine="480"/>
        <w:jc w:val="both"/>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3、攻坚类收集亭精细化管理：实施精细化管理的收集亭，安排专职督导员，每天在收集亭现场督导，工作时间段不低于全天6小时，早中晚各不低于2小时，节假日增加不少于1小时。</w:t>
      </w:r>
      <w:r/>
    </w:p>
    <w:p>
      <w:pPr>
        <w:ind w:firstLine="600"/>
        <w:spacing w:line="520" w:lineRule="exact"/>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（二）前端分类收运</w:t>
      </w:r>
      <w:r/>
    </w:p>
    <w:p>
      <w:pPr>
        <w:ind w:firstLine="600"/>
        <w:spacing w:line="520" w:lineRule="exact"/>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生活垃圾前端分类收集：合理规划生活垃圾分类收运路线，按照收集房垃圾桶不满溢、无异味的工作要求，科学确定收运频次，居民小区其他垃圾、厨余垃圾日产日清，厨余垃圾在收集房关闭后内将厨余垃圾桶驳运至驳运点，其他垃圾使用挂桶、密闭收集至中转站；高低值可回收物采用定期收集或预约上门收集方式。有害垃圾垃圾、大件垃圾定期运至指定地点。</w:t>
      </w:r>
      <w:r/>
    </w:p>
    <w:p>
      <w:pPr>
        <w:ind w:firstLine="600"/>
        <w:spacing w:line="520" w:lineRule="exact"/>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2、厨余垃圾驳运点管理：配备专人管理，负责驳运点环境卫生管理、消杀除臭、</w:t>
      </w:r>
      <w:bookmarkStart w:id="26" w:name="_Hlk175322402"/>
      <w:r>
        <w:rPr>
          <w:rFonts w:hint="eastAsia" w:ascii="宋体" w:hAnsi="宋体" w:eastAsia="宋体" w:cs="宋体"/>
          <w:color w:val="auto"/>
          <w:sz w:val="24"/>
          <w:szCs w:val="24"/>
          <w:highlight w:val="none"/>
          <w:lang w:val="en-US" w:eastAsia="zh-CN" w:bidi="ar-SA"/>
        </w:rPr>
        <w:t xml:space="preserve">保证驳运点安全规范有序运行</w:t>
      </w:r>
      <w:bookmarkEnd w:id="26"/>
      <w:r>
        <w:rPr>
          <w:rFonts w:hint="eastAsia" w:ascii="宋体" w:hAnsi="宋体" w:eastAsia="宋体" w:cs="宋体"/>
          <w:color w:val="auto"/>
          <w:sz w:val="24"/>
          <w:szCs w:val="24"/>
          <w:highlight w:val="none"/>
          <w:lang w:val="en-US" w:eastAsia="zh-CN" w:bidi="ar-SA"/>
        </w:rPr>
        <w:t xml:space="preserve">，厨余垃圾计量、厨余垃圾驳运车辆的保养、维修、保险、维护、能耗等。</w:t>
      </w:r>
      <w:r/>
    </w:p>
    <w:p>
      <w:pPr>
        <w:ind w:firstLine="600"/>
        <w:spacing w:line="520" w:lineRule="exact"/>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3、垃圾收运管理：加强收运车辆管理，车容车貌良好、分类标志标识规范、车辆密闭运输。强化收运作业全过程监管，严格落实“桶车同色、转车专用”，杜绝“混收混运”现象。</w:t>
      </w:r>
      <w:bookmarkEnd w:id="20"/>
      <w:r/>
      <w:bookmarkEnd w:id="21"/>
      <w:r/>
      <w:bookmarkEnd w:id="22"/>
      <w:r/>
      <w:bookmarkEnd w:id="23"/>
      <w:r/>
      <w:bookmarkEnd w:id="24"/>
      <w:r/>
      <w:bookmarkEnd w:id="25"/>
      <w:r/>
      <w:r/>
    </w:p>
    <w:p>
      <w:pPr>
        <w:ind w:firstLine="480"/>
        <w:spacing w:after="0" w:line="520" w:lineRule="exact"/>
        <w:rPr>
          <w:rFonts w:hint="default" w:ascii="宋体" w:hAnsi="宋体" w:eastAsia="宋体"/>
          <w:color w:val="auto"/>
          <w:sz w:val="24"/>
          <w:highlight w:val="none"/>
        </w:rPr>
      </w:pPr>
      <w:r>
        <w:rPr>
          <w:rFonts w:hint="eastAsia" w:ascii="宋体" w:hAnsi="宋体" w:eastAsia="宋体"/>
          <w:color w:val="auto"/>
          <w:sz w:val="24"/>
          <w:highlight w:val="none"/>
        </w:rPr>
        <w:t xml:space="preserve">4、健全健全回收体系：根据实际需要合理设置可回收物分拣中心、中转站，充分发挥现有生活垃圾分类</w:t>
      </w:r>
      <w:r>
        <w:rPr>
          <w:rFonts w:hint="eastAsia" w:ascii="宋体" w:hAnsi="宋体" w:eastAsia="宋体"/>
          <w:color w:val="auto"/>
          <w:sz w:val="24"/>
          <w:highlight w:val="none"/>
        </w:rPr>
        <w:t xml:space="preserve">收集点、智能回收箱等设施设备回收作用，积极在社区、小区设置可回收物回收服务点。创新推广预约上门回收、车辆流动回收、“互联网+回收”等灵活收运模式。按照“一街道一中转”的原则，中转站面积不低于 50 平方/座，统一规划、统一形象、统一管理规范、统一衡器，功能包含回收、暂存、宣传、积分兑换、便民服务等功能。站点的建设应符合土地、“建筑、环境保护、消防等有关方面的政策和规定。每座中转站至分拣中心至少配备 1 辆封闭式新能源电动运输车，运输车应采用统一涂装、统一标识，按照当地公安交通管理部门规定的路线和时间行驶。 </w:t>
      </w:r>
      <w:r/>
    </w:p>
    <w:p>
      <w:pPr>
        <w:ind w:firstLine="480"/>
        <w:spacing w:after="0" w:line="520" w:lineRule="exact"/>
        <w:rPr>
          <w:rFonts w:hint="default" w:ascii="宋体" w:hAnsi="宋体" w:eastAsia="宋体"/>
          <w:color w:val="auto"/>
          <w:sz w:val="24"/>
          <w:highlight w:val="none"/>
        </w:rPr>
      </w:pPr>
      <w:r>
        <w:rPr>
          <w:rFonts w:hint="eastAsia" w:ascii="宋体" w:hAnsi="宋体" w:eastAsia="宋体"/>
          <w:color w:val="auto"/>
          <w:sz w:val="24"/>
          <w:highlight w:val="none"/>
        </w:rPr>
        <w:t xml:space="preserve">（三）生活垃圾分类治理和信息化建设：</w:t>
      </w:r>
      <w:r>
        <w:rPr>
          <w:rFonts w:hint="default" w:ascii="宋体" w:hAnsi="宋体" w:eastAsia="宋体"/>
          <w:color w:val="auto"/>
          <w:sz w:val="24"/>
          <w:highlight w:val="none"/>
        </w:rPr>
        <w:t xml:space="preserve">生活垃圾分类治理需以信息化为核心引擎，打通 “居民参与 - 分类投放 - 收运处置 - 监管优化” 全流程</w:t>
      </w:r>
      <w:r>
        <w:rPr>
          <w:rFonts w:hint="eastAsia" w:ascii="宋体" w:hAnsi="宋体" w:eastAsia="宋体"/>
          <w:color w:val="auto"/>
          <w:sz w:val="24"/>
          <w:highlight w:val="none"/>
        </w:rPr>
        <w:t xml:space="preserve">。高低值可回收物通过</w:t>
      </w:r>
      <w:r>
        <w:rPr>
          <w:rFonts w:hint="default" w:ascii="宋体" w:hAnsi="宋体" w:eastAsia="宋体"/>
          <w:color w:val="auto"/>
          <w:sz w:val="24"/>
          <w:highlight w:val="none"/>
        </w:rPr>
        <w:t xml:space="preserve">前端依托智能回收箱、移动端小程序实现居民投放信息化，中端通过</w:t>
      </w:r>
      <w:r>
        <w:rPr>
          <w:rFonts w:hint="eastAsia" w:ascii="宋体" w:hAnsi="宋体" w:eastAsia="宋体"/>
          <w:color w:val="auto"/>
          <w:sz w:val="24"/>
          <w:highlight w:val="none"/>
        </w:rPr>
        <w:t xml:space="preserve"> GPS 定位与 AI 视频监控设备，实时记录清运路线、垃圾装卸过程，发现混装行为自动预警；建立 “社区巡查 + 平台监管” 双机制。</w:t>
      </w:r>
      <w:r>
        <w:rPr>
          <w:rFonts w:hint="default" w:ascii="宋体" w:hAnsi="宋体" w:eastAsia="宋体"/>
          <w:color w:val="auto"/>
          <w:sz w:val="24"/>
          <w:highlight w:val="none"/>
        </w:rPr>
        <w:t xml:space="preserve">后端</w:t>
      </w:r>
      <w:r>
        <w:rPr>
          <w:rFonts w:hint="eastAsia" w:ascii="宋体" w:hAnsi="宋体" w:eastAsia="宋体"/>
          <w:color w:val="auto"/>
          <w:sz w:val="24"/>
          <w:highlight w:val="none"/>
        </w:rPr>
        <w:t xml:space="preserve">通过</w:t>
      </w:r>
      <w:r>
        <w:rPr>
          <w:rFonts w:hint="default" w:ascii="宋体" w:hAnsi="宋体" w:eastAsia="宋体"/>
          <w:color w:val="auto"/>
          <w:sz w:val="24"/>
          <w:highlight w:val="none"/>
        </w:rPr>
        <w:t xml:space="preserve">分拣中心数据链路，记录</w:t>
      </w:r>
      <w:r>
        <w:rPr>
          <w:rFonts w:hint="eastAsia" w:ascii="宋体" w:hAnsi="宋体" w:eastAsia="宋体"/>
          <w:color w:val="auto"/>
          <w:sz w:val="24"/>
          <w:highlight w:val="none"/>
        </w:rPr>
        <w:t xml:space="preserve">各品类回收源、回收量</w:t>
      </w:r>
      <w:r>
        <w:rPr>
          <w:rFonts w:hint="default" w:ascii="宋体" w:hAnsi="宋体" w:eastAsia="宋体"/>
          <w:color w:val="auto"/>
          <w:sz w:val="24"/>
          <w:highlight w:val="none"/>
        </w:rPr>
        <w:t xml:space="preserve">，实现从居民投放到再生利用的全流程溯源，让全链条在信息化赋能下更高效、更透明，既提升居民参与便捷度，为体系运营优化、政策制定提供数据支撑。</w:t>
      </w:r>
      <w:r/>
    </w:p>
    <w:p>
      <w:pPr>
        <w:ind w:firstLine="482"/>
        <w:spacing w:after="0" w:line="520" w:lineRule="exact"/>
        <w:rPr>
          <w:rFonts w:hint="default" w:ascii="宋体" w:hAnsi="宋体" w:cs="宋体"/>
          <w:color w:val="auto"/>
          <w:sz w:val="24"/>
          <w:highlight w:val="none"/>
        </w:rPr>
      </w:pP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、具体服务范围及运行最低配置</w:t>
      </w:r>
      <w:r>
        <w:rPr>
          <w:rFonts w:hint="eastAsia" w:ascii="宋体" w:hAnsi="宋体" w:cs="宋体"/>
          <w:color w:val="auto"/>
          <w:sz w:val="24"/>
          <w:highlight w:val="none"/>
        </w:rPr>
        <w:t xml:space="preserve">（本项不允许负偏离，否则按废标处理）</w:t>
      </w:r>
      <w:r/>
    </w:p>
    <w:p>
      <w:pPr>
        <w:ind w:firstLine="482"/>
        <w:spacing w:after="0" w:line="520" w:lineRule="exact"/>
        <w:rPr>
          <w:rFonts w:hint="default" w:ascii="宋体" w:hAnsi="宋体" w:cs="宋体"/>
          <w:b/>
          <w:bCs/>
          <w:color w:val="auto"/>
          <w:sz w:val="24"/>
          <w:highlight w:val="none"/>
        </w:rPr>
      </w:pPr>
      <w:r>
        <w:rPr>
          <w:rFonts w:hint="eastAsia" w:ascii="宋体" w:hAnsi="宋体" w:cs="宋体"/>
          <w:b/>
          <w:bCs/>
          <w:color w:val="auto"/>
          <w:sz w:val="24"/>
          <w:highlight w:val="none"/>
        </w:rPr>
        <w:t xml:space="preserve">（一）人员、设备专用原则</w:t>
      </w:r>
      <w:r/>
    </w:p>
    <w:p>
      <w:pPr>
        <w:ind w:firstLine="482"/>
        <w:spacing w:after="0" w:line="520" w:lineRule="exact"/>
        <w:rPr>
          <w:rFonts w:hint="default" w:ascii="宋体" w:hAnsi="宋体" w:cs="宋体"/>
          <w:color w:val="auto"/>
          <w:sz w:val="24"/>
          <w:highlight w:val="none"/>
        </w:rPr>
      </w:pPr>
      <w:r>
        <w:rPr>
          <w:rFonts w:hint="eastAsia" w:ascii="宋体" w:hAnsi="宋体" w:cs="宋体"/>
          <w:b/>
          <w:bCs/>
          <w:color w:val="auto"/>
          <w:sz w:val="24"/>
          <w:highlight w:val="none"/>
        </w:rPr>
        <w:t xml:space="preserve">1.人员专用原则：</w:t>
      </w:r>
      <w:r>
        <w:rPr>
          <w:rFonts w:hint="eastAsia" w:ascii="宋体" w:hAnsi="宋体" w:cs="宋体"/>
          <w:color w:val="auto"/>
          <w:sz w:val="24"/>
          <w:highlight w:val="none"/>
        </w:rPr>
        <w:t xml:space="preserve">项目所有人员专门服务于本项目，不得用于其他项目中，投标项目负责人应为投标人本单位人员（提供开标前6个月任意一个月社保缴纳证明），且须常驻本项目。</w:t>
      </w:r>
      <w:r/>
    </w:p>
    <w:p>
      <w:pPr>
        <w:ind w:firstLine="482"/>
        <w:spacing w:after="0" w:line="520" w:lineRule="exact"/>
        <w:rPr>
          <w:rFonts w:hint="default" w:ascii="宋体" w:hAnsi="宋体" w:cs="宋体"/>
          <w:color w:val="auto"/>
          <w:sz w:val="24"/>
          <w:highlight w:val="none"/>
        </w:rPr>
      </w:pPr>
      <w:r>
        <w:rPr>
          <w:rFonts w:hint="eastAsia" w:ascii="宋体" w:hAnsi="宋体" w:cs="宋体"/>
          <w:b/>
          <w:bCs/>
          <w:color w:val="auto"/>
          <w:sz w:val="24"/>
          <w:highlight w:val="none"/>
        </w:rPr>
        <w:t xml:space="preserve">2.设备（车辆）专用原则：</w:t>
      </w:r>
      <w:r>
        <w:rPr>
          <w:rFonts w:hint="eastAsia" w:ascii="宋体" w:hAnsi="宋体" w:cs="宋体"/>
          <w:color w:val="auto"/>
          <w:sz w:val="24"/>
          <w:highlight w:val="none"/>
        </w:rPr>
        <w:t xml:space="preserve">投标人必须按照招标文件要求配备相关车辆设备，且承诺投入车辆均为本项目专用车辆，不得用于其他项目。</w:t>
      </w:r>
      <w:r/>
    </w:p>
    <w:p>
      <w:pPr>
        <w:ind w:firstLine="482"/>
        <w:spacing w:after="0" w:line="520" w:lineRule="exact"/>
        <w:rPr>
          <w:rFonts w:hint="default" w:ascii="宋体" w:hAnsi="宋体" w:cs="宋体"/>
          <w:b/>
          <w:bCs/>
          <w:color w:val="auto"/>
          <w:sz w:val="24"/>
          <w:highlight w:val="none"/>
        </w:rPr>
      </w:pPr>
      <w:r>
        <w:rPr>
          <w:rFonts w:hint="eastAsia" w:ascii="宋体" w:hAnsi="宋体" w:cs="宋体"/>
          <w:b/>
          <w:bCs/>
          <w:color w:val="auto"/>
          <w:sz w:val="24"/>
          <w:highlight w:val="none"/>
        </w:rPr>
        <w:t xml:space="preserve">（二）人员、设备配置基本要求</w:t>
      </w:r>
      <w:r/>
    </w:p>
    <w:p>
      <w:pPr>
        <w:ind w:firstLine="480"/>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1.督导员年龄要求相关法律法规要求。</w:t>
      </w:r>
      <w:r/>
    </w:p>
    <w:p>
      <w:pPr>
        <w:ind w:firstLine="480"/>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2.中标人承担所有人员及设备的安全责任及费用。</w:t>
      </w:r>
      <w:r/>
    </w:p>
    <w:p>
      <w:pPr>
        <w:ind w:firstLine="480"/>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3.中标人须为作业人员提供工作服及必要的劳动防护用品。</w:t>
      </w:r>
      <w:r/>
    </w:p>
    <w:p>
      <w:pPr>
        <w:ind w:firstLine="480"/>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4.投标文件中提供“中标后作业人员配置”的承诺文件，否则按照无效投标处理。</w:t>
      </w:r>
      <w:r/>
    </w:p>
    <w:p>
      <w:pPr>
        <w:ind w:firstLine="480"/>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5.设备（车辆）外观要求标识统一，中标后，必须按采购方要求进行车辆涂装，相关费用包含于投标报价内。</w:t>
      </w:r>
      <w:r/>
    </w:p>
    <w:p>
      <w:pPr>
        <w:ind w:firstLine="480"/>
        <w:jc w:val="both"/>
        <w:keepLines/>
        <w:keepNext/>
        <w:spacing w:before="320" w:after="200" w:line="520" w:lineRule="exact"/>
        <w:widowControl w:val="off"/>
        <w:rPr>
          <w:rFonts w:ascii="宋体" w:hAnsi="宋体" w:eastAsia="宋体" w:cs="宋体"/>
          <w:b/>
          <w:bCs w:val="0"/>
          <w:color w:val="auto"/>
          <w:sz w:val="24"/>
          <w:szCs w:val="24"/>
          <w:highlight w:val="none"/>
          <w:lang w:val="en-US" w:eastAsia="zh-CN" w:bidi="ar-SA"/>
        </w:rPr>
        <w:outlineLvl w:val="3"/>
      </w:pPr>
      <w:r>
        <w:rPr>
          <w:rFonts w:hint="eastAsia" w:ascii="宋体" w:hAnsi="宋体" w:eastAsia="Arial" w:cs="宋体"/>
          <w:b/>
          <w:bCs w:val="0"/>
          <w:color w:val="auto"/>
          <w:sz w:val="24"/>
          <w:szCs w:val="24"/>
          <w:highlight w:val="none"/>
          <w:lang w:val="en-US" w:eastAsia="zh-CN" w:bidi="ar-SA"/>
        </w:rPr>
        <w:t xml:space="preserve">（三）具体服务范围及运行最低配置</w:t>
      </w:r>
      <w:r/>
    </w:p>
    <w:p>
      <w:pPr>
        <w:spacing w:after="0" w:line="520" w:lineRule="exact"/>
        <w:rPr>
          <w:rFonts w:hint="default"/>
          <w:color w:val="auto"/>
          <w:sz w:val="24"/>
          <w:highlight w:val="none"/>
        </w:rPr>
      </w:pPr>
      <w:r>
        <w:rPr>
          <w:rFonts w:hint="eastAsia"/>
          <w:color w:val="auto"/>
          <w:sz w:val="24"/>
          <w:highlight w:val="none"/>
        </w:rPr>
        <w:t xml:space="preserve">按照市级有关居民小区收集亭精细化管理明细，开展攻坚类垃圾分类收集亭的相关督导工作。（全区共计4</w:t>
      </w:r>
      <w:r>
        <w:rPr>
          <w:rFonts w:hint="default"/>
          <w:color w:val="auto"/>
          <w:sz w:val="24"/>
          <w:highlight w:val="none"/>
        </w:rPr>
        <w:t xml:space="preserve">0</w:t>
      </w:r>
      <w:r>
        <w:rPr>
          <w:rFonts w:hint="eastAsia"/>
          <w:color w:val="auto"/>
          <w:sz w:val="24"/>
          <w:highlight w:val="none"/>
        </w:rPr>
        <w:t xml:space="preserve">个，根据小区实际分类情况动态调整）</w:t>
      </w:r>
      <w:r/>
    </w:p>
    <w:p>
      <w:pPr>
        <w:ind w:firstLine="0"/>
        <w:jc w:val="both"/>
        <w:spacing w:line="52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公司管理人员配备表：</w:t>
      </w:r>
      <w:r/>
    </w:p>
    <w:tbl>
      <w:tblPr>
        <w:tblStyle w:val="9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4713"/>
        <w:gridCol w:w="2841"/>
      </w:tblGrid>
      <w:tr>
        <w:trPr/>
        <w:tc>
          <w:tcPr>
            <w:shd w:val="clear" w:color="auto" w:fill="auto"/>
            <w:tcW w:w="968"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序号</w:t>
            </w:r>
            <w:r/>
          </w:p>
        </w:tc>
        <w:tc>
          <w:tcPr>
            <w:shd w:val="clear" w:color="auto" w:fill="auto"/>
            <w:tcW w:w="4713"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项目名称</w:t>
            </w:r>
            <w:r/>
          </w:p>
        </w:tc>
        <w:tc>
          <w:tcPr>
            <w:shd w:val="clear" w:color="auto" w:fill="auto"/>
            <w:tcW w:w="284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数量</w:t>
            </w:r>
            <w:r/>
          </w:p>
        </w:tc>
      </w:tr>
      <w:tr>
        <w:trPr/>
        <w:tc>
          <w:tcPr>
            <w:shd w:val="clear" w:color="auto" w:fill="auto"/>
            <w:tcW w:w="968"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1</w:t>
            </w:r>
            <w:r/>
          </w:p>
        </w:tc>
        <w:tc>
          <w:tcPr>
            <w:shd w:val="clear" w:color="auto" w:fill="auto"/>
            <w:tcW w:w="4713"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总负责人</w:t>
            </w:r>
            <w:r/>
          </w:p>
        </w:tc>
        <w:tc>
          <w:tcPr>
            <w:shd w:val="clear" w:color="auto" w:fill="auto"/>
            <w:tcW w:w="284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1</w:t>
            </w:r>
            <w:r/>
          </w:p>
        </w:tc>
      </w:tr>
      <w:tr>
        <w:trPr/>
        <w:tc>
          <w:tcPr>
            <w:shd w:val="clear" w:color="auto" w:fill="auto"/>
            <w:tcW w:w="968"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W w:w="4713"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其他垃圾收集、运输负责人</w:t>
            </w:r>
            <w:r/>
          </w:p>
        </w:tc>
        <w:tc>
          <w:tcPr>
            <w:shd w:val="clear" w:color="auto" w:fill="auto"/>
            <w:tcW w:w="284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1</w:t>
            </w:r>
            <w:r/>
          </w:p>
        </w:tc>
      </w:tr>
      <w:tr>
        <w:trPr/>
        <w:tc>
          <w:tcPr>
            <w:shd w:val="clear" w:color="auto" w:fill="auto"/>
            <w:tcW w:w="968" w:type="dxa"/>
            <w:vAlign w:val="center"/>
            <w:textDirection w:val="lrTb"/>
            <w:noWrap w:val="false"/>
          </w:tcPr>
          <w:p>
            <w:pPr>
              <w:jc w:val="center"/>
              <w:spacing w:after="0" w:line="520" w:lineRule="exact"/>
              <w:rPr>
                <w:rFonts w:hint="default"/>
                <w:color w:val="auto"/>
                <w:highlight w:val="none"/>
              </w:rPr>
            </w:pPr>
            <w:r>
              <w:rPr>
                <w:rFonts w:hint="eastAsia" w:ascii="宋体" w:hAnsi="宋体" w:cs="宋体"/>
                <w:color w:val="auto"/>
                <w:sz w:val="24"/>
                <w:highlight w:val="none"/>
              </w:rPr>
              <w:t xml:space="preserve">3</w:t>
            </w:r>
            <w:r/>
          </w:p>
        </w:tc>
        <w:tc>
          <w:tcPr>
            <w:shd w:val="clear" w:color="auto" w:fill="auto"/>
            <w:tcW w:w="4713"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可回收物和厨余垃圾收集、转运负责人</w:t>
            </w:r>
            <w:r/>
          </w:p>
        </w:tc>
        <w:tc>
          <w:tcPr>
            <w:shd w:val="clear" w:color="auto" w:fill="auto"/>
            <w:tcW w:w="284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1</w:t>
            </w:r>
            <w:r/>
          </w:p>
        </w:tc>
      </w:tr>
      <w:tr>
        <w:trPr/>
        <w:tc>
          <w:tcPr>
            <w:shd w:val="clear" w:color="auto" w:fill="auto"/>
            <w:tcW w:w="968"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W w:w="4713"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督导员管理人员</w:t>
            </w:r>
            <w:r/>
          </w:p>
        </w:tc>
        <w:tc>
          <w:tcPr>
            <w:shd w:val="clear" w:color="auto" w:fill="auto"/>
            <w:tcW w:w="284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1</w:t>
            </w:r>
            <w:r/>
          </w:p>
        </w:tc>
      </w:tr>
    </w:tbl>
    <w:p>
      <w:pPr>
        <w:ind w:firstLine="0"/>
        <w:jc w:val="both"/>
        <w:spacing w:line="520" w:lineRule="exact"/>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注：其他人员自行安排，保证项目正常运转。</w:t>
      </w:r>
      <w:r/>
    </w:p>
    <w:p>
      <w:pPr>
        <w:ind w:firstLine="0"/>
        <w:jc w:val="both"/>
        <w:spacing w:line="520" w:lineRule="exact"/>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收集点分类督导员及其他人员配备表：</w:t>
      </w:r>
      <w:r/>
    </w:p>
    <w:tbl>
      <w:tblPr>
        <w:tblStyle w:val="867"/>
        <w:tblW w:w="9089" w:type="dxa"/>
        <w:tblInd w:w="-27" w:type="dxa"/>
        <w:tblLayout w:type="fixed"/>
        <w:tblCellMar>
          <w:left w:w="108" w:type="dxa"/>
          <w:top w:w="0" w:type="dxa"/>
          <w:right w:w="108" w:type="dxa"/>
          <w:bottom w:w="0" w:type="dxa"/>
        </w:tblCellMar>
        <w:tblLook w:val="04A0" w:firstRow="1" w:lastRow="0" w:firstColumn="1" w:lastColumn="0" w:noHBand="0" w:noVBand="1"/>
      </w:tblPr>
      <w:tblGrid>
        <w:gridCol w:w="975"/>
        <w:gridCol w:w="2191"/>
        <w:gridCol w:w="1515"/>
        <w:gridCol w:w="4408"/>
      </w:tblGrid>
      <w:tr>
        <w:trPr>
          <w:trHeight w:val="340"/>
        </w:trPr>
        <w:tc>
          <w:tcPr>
            <w:tcBorders>
              <w:top w:val="single" w:color="080000" w:sz="8" w:space="0"/>
              <w:left w:val="single" w:color="080000" w:sz="8" w:space="0"/>
              <w:bottom w:val="single" w:color="080000" w:sz="8" w:space="0"/>
              <w:right w:val="single" w:color="080000" w:sz="8" w:space="0"/>
            </w:tcBorders>
            <w:tcW w:w="97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80000" w:sz="8" w:space="0"/>
              <w:left w:val="none" w:color="000000" w:sz="4" w:space="0"/>
              <w:bottom w:val="single" w:color="080000" w:sz="8" w:space="0"/>
              <w:right w:val="single" w:color="080000" w:sz="8" w:space="0"/>
            </w:tcBorders>
            <w:tcW w:w="219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080000" w:sz="8" w:space="0"/>
              <w:left w:val="none" w:color="000000" w:sz="4" w:space="0"/>
              <w:bottom w:val="single" w:color="080000" w:sz="8" w:space="0"/>
              <w:right w:val="single" w:color="080000" w:sz="8" w:space="0"/>
            </w:tcBorders>
            <w:tcW w:w="151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数量</w:t>
            </w:r>
            <w:r/>
          </w:p>
        </w:tc>
        <w:tc>
          <w:tcPr>
            <w:tcBorders>
              <w:top w:val="single" w:color="080000" w:sz="8" w:space="0"/>
              <w:left w:val="none" w:color="000000" w:sz="4" w:space="0"/>
              <w:bottom w:val="single" w:color="080000" w:sz="8" w:space="0"/>
              <w:right w:val="single" w:color="000000" w:sz="4" w:space="0"/>
            </w:tcBorders>
            <w:tcW w:w="4408"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说明</w:t>
            </w:r>
            <w:r/>
          </w:p>
        </w:tc>
      </w:tr>
      <w:tr>
        <w:trPr>
          <w:trHeight w:val="736"/>
        </w:trPr>
        <w:tc>
          <w:tcPr>
            <w:tcBorders>
              <w:top w:val="none" w:color="000000" w:sz="4" w:space="0"/>
              <w:left w:val="single" w:color="080000" w:sz="8" w:space="0"/>
              <w:bottom w:val="single" w:color="080000" w:sz="8" w:space="0"/>
              <w:right w:val="single" w:color="080000" w:sz="8" w:space="0"/>
            </w:tcBorders>
            <w:tcW w:w="97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1</w:t>
            </w:r>
            <w:r/>
          </w:p>
        </w:tc>
        <w:tc>
          <w:tcPr>
            <w:tcBorders>
              <w:top w:val="none" w:color="000000" w:sz="4" w:space="0"/>
              <w:left w:val="none" w:color="000000" w:sz="4" w:space="0"/>
              <w:bottom w:val="single" w:color="080000" w:sz="8" w:space="0"/>
              <w:right w:val="single" w:color="080000" w:sz="8" w:space="0"/>
            </w:tcBorders>
            <w:tcW w:w="219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垃圾分类督导员</w:t>
            </w:r>
            <w:r/>
          </w:p>
        </w:tc>
        <w:tc>
          <w:tcPr>
            <w:tcBorders>
              <w:top w:val="none" w:color="000000" w:sz="4" w:space="0"/>
              <w:left w:val="none" w:color="000000" w:sz="4" w:space="0"/>
              <w:bottom w:val="single" w:color="080000" w:sz="8" w:space="0"/>
              <w:right w:val="single" w:color="080000" w:sz="8" w:space="0"/>
            </w:tcBorders>
            <w:tcW w:w="151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default" w:ascii="宋体" w:hAnsi="宋体" w:cs="宋体"/>
                <w:color w:val="auto"/>
                <w:sz w:val="24"/>
                <w:highlight w:val="none"/>
              </w:rPr>
              <w:t xml:space="preserve">303</w:t>
            </w:r>
            <w:r/>
          </w:p>
        </w:tc>
        <w:tc>
          <w:tcPr>
            <w:tcBorders>
              <w:top w:val="none" w:color="000000" w:sz="4" w:space="0"/>
              <w:left w:val="none" w:color="000000" w:sz="4" w:space="0"/>
              <w:bottom w:val="single" w:color="080000" w:sz="8" w:space="0"/>
              <w:right w:val="single" w:color="000000" w:sz="4" w:space="0"/>
            </w:tcBorders>
            <w:tcW w:w="4408" w:type="dxa"/>
            <w:vAlign w:val="center"/>
            <w:textDirection w:val="lrTb"/>
            <w:noWrap w:val="false"/>
          </w:tcPr>
          <w:p>
            <w:pPr>
              <w:jc w:val="left"/>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督导员按照实际情况配备。</w:t>
            </w:r>
            <w:r/>
          </w:p>
        </w:tc>
      </w:tr>
      <w:tr>
        <w:trPr>
          <w:trHeight w:val="939"/>
        </w:trPr>
        <w:tc>
          <w:tcPr>
            <w:tcBorders>
              <w:top w:val="none" w:color="000000" w:sz="4" w:space="0"/>
              <w:left w:val="single" w:color="080000" w:sz="8" w:space="0"/>
              <w:bottom w:val="single" w:color="080000" w:sz="8" w:space="0"/>
              <w:right w:val="single" w:color="080000" w:sz="8" w:space="0"/>
            </w:tcBorders>
            <w:tcW w:w="97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2</w:t>
            </w:r>
            <w:r/>
          </w:p>
        </w:tc>
        <w:tc>
          <w:tcPr>
            <w:tcBorders>
              <w:top w:val="none" w:color="000000" w:sz="4" w:space="0"/>
              <w:left w:val="none" w:color="000000" w:sz="4" w:space="0"/>
              <w:bottom w:val="single" w:color="080000" w:sz="8" w:space="0"/>
              <w:right w:val="single" w:color="080000" w:sz="8" w:space="0"/>
            </w:tcBorders>
            <w:tcW w:w="219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督导员劳保用品</w:t>
            </w:r>
            <w:r/>
          </w:p>
        </w:tc>
        <w:tc>
          <w:tcPr>
            <w:tcBorders>
              <w:top w:val="none" w:color="000000" w:sz="4" w:space="0"/>
              <w:left w:val="none" w:color="000000" w:sz="4" w:space="0"/>
              <w:bottom w:val="single" w:color="080000" w:sz="8" w:space="0"/>
              <w:right w:val="single" w:color="080000" w:sz="8" w:space="0"/>
            </w:tcBorders>
            <w:tcW w:w="151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default" w:ascii="宋体" w:hAnsi="宋体" w:cs="宋体"/>
                <w:color w:val="auto"/>
                <w:sz w:val="24"/>
                <w:highlight w:val="none"/>
              </w:rPr>
              <w:t xml:space="preserve">303</w:t>
            </w:r>
            <w:r/>
          </w:p>
        </w:tc>
        <w:tc>
          <w:tcPr>
            <w:tcBorders>
              <w:top w:val="none" w:color="000000" w:sz="4" w:space="0"/>
              <w:left w:val="none" w:color="000000" w:sz="4" w:space="0"/>
              <w:bottom w:val="single" w:color="080000" w:sz="8" w:space="0"/>
              <w:right w:val="single" w:color="000000" w:sz="4" w:space="0"/>
            </w:tcBorders>
            <w:tcW w:w="4408" w:type="dxa"/>
            <w:vAlign w:val="center"/>
            <w:textDirection w:val="lrTb"/>
            <w:noWrap w:val="false"/>
          </w:tcPr>
          <w:p>
            <w:pPr>
              <w:jc w:val="left"/>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督导员工作服、口罩、手套、捡拾夹、垃圾破袋器，日常消杀消毒等劳保用品（消耗品随用随配）。</w:t>
            </w:r>
            <w:r/>
          </w:p>
        </w:tc>
      </w:tr>
      <w:tr>
        <w:trPr>
          <w:trHeight w:val="633"/>
        </w:trPr>
        <w:tc>
          <w:tcPr>
            <w:tcBorders>
              <w:top w:val="none" w:color="000000" w:sz="4" w:space="0"/>
              <w:left w:val="single" w:color="080000" w:sz="8" w:space="0"/>
              <w:bottom w:val="single" w:color="080000" w:sz="8" w:space="0"/>
              <w:right w:val="single" w:color="080000" w:sz="8" w:space="0"/>
            </w:tcBorders>
            <w:tcW w:w="97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3</w:t>
            </w:r>
            <w:r/>
          </w:p>
        </w:tc>
        <w:tc>
          <w:tcPr>
            <w:tcBorders>
              <w:top w:val="none" w:color="000000" w:sz="4" w:space="0"/>
              <w:left w:val="none" w:color="000000" w:sz="4" w:space="0"/>
              <w:bottom w:val="single" w:color="080000" w:sz="8" w:space="0"/>
              <w:right w:val="single" w:color="080000" w:sz="8" w:space="0"/>
            </w:tcBorders>
            <w:tcW w:w="219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厨余驳运点管理人员</w:t>
            </w:r>
            <w:r/>
          </w:p>
        </w:tc>
        <w:tc>
          <w:tcPr>
            <w:tcBorders>
              <w:top w:val="none" w:color="000000" w:sz="4" w:space="0"/>
              <w:left w:val="none" w:color="000000" w:sz="4" w:space="0"/>
              <w:bottom w:val="single" w:color="080000" w:sz="8" w:space="0"/>
              <w:right w:val="single" w:color="080000" w:sz="8" w:space="0"/>
            </w:tcBorders>
            <w:tcW w:w="1515" w:type="dxa"/>
            <w:vAlign w:val="center"/>
            <w:textDirection w:val="lrTb"/>
            <w:noWrap w:val="false"/>
          </w:tcPr>
          <w:p>
            <w:pPr>
              <w:ind w:firstLine="480"/>
              <w:spacing w:after="0" w:line="520" w:lineRule="exact"/>
              <w:rPr>
                <w:rFonts w:hint="default" w:ascii="宋体" w:hAnsi="宋体" w:cs="宋体"/>
                <w:color w:val="auto"/>
                <w:sz w:val="24"/>
                <w:highlight w:val="none"/>
              </w:rPr>
            </w:pPr>
            <w:r>
              <w:rPr>
                <w:rFonts w:hint="default" w:ascii="宋体" w:hAnsi="宋体" w:cs="宋体"/>
                <w:color w:val="auto"/>
                <w:sz w:val="24"/>
                <w:highlight w:val="none"/>
              </w:rPr>
              <w:t xml:space="preserve">18</w:t>
            </w:r>
            <w:r/>
          </w:p>
        </w:tc>
        <w:tc>
          <w:tcPr>
            <w:tcBorders>
              <w:top w:val="none" w:color="000000" w:sz="4" w:space="0"/>
              <w:left w:val="none" w:color="000000" w:sz="4" w:space="0"/>
              <w:bottom w:val="single" w:color="080000" w:sz="8" w:space="0"/>
              <w:right w:val="single" w:color="000000" w:sz="4" w:space="0"/>
            </w:tcBorders>
            <w:tcW w:w="4408" w:type="dxa"/>
            <w:vAlign w:val="center"/>
            <w:textDirection w:val="lrTb"/>
            <w:noWrap w:val="false"/>
          </w:tcPr>
          <w:p>
            <w:pPr>
              <w:jc w:val="left"/>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按照每个厨余驳运点2人标准进行配备。</w:t>
            </w:r>
            <w:r/>
          </w:p>
        </w:tc>
      </w:tr>
      <w:tr>
        <w:trPr>
          <w:trHeight w:val="653"/>
        </w:trPr>
        <w:tc>
          <w:tcPr>
            <w:tcBorders>
              <w:top w:val="none" w:color="000000" w:sz="4" w:space="0"/>
              <w:left w:val="single" w:color="080000" w:sz="8" w:space="0"/>
              <w:bottom w:val="single" w:color="080000" w:sz="8" w:space="0"/>
              <w:right w:val="single" w:color="080000" w:sz="8" w:space="0"/>
            </w:tcBorders>
            <w:tcW w:w="97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4</w:t>
            </w:r>
            <w:r/>
          </w:p>
        </w:tc>
        <w:tc>
          <w:tcPr>
            <w:tcBorders>
              <w:top w:val="none" w:color="000000" w:sz="4" w:space="0"/>
              <w:left w:val="none" w:color="000000" w:sz="4" w:space="0"/>
              <w:bottom w:val="single" w:color="080000" w:sz="8" w:space="0"/>
              <w:right w:val="single" w:color="080000" w:sz="8" w:space="0"/>
            </w:tcBorders>
            <w:tcW w:w="219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其他人员</w:t>
            </w:r>
            <w:r/>
          </w:p>
        </w:tc>
        <w:tc>
          <w:tcPr>
            <w:tcBorders>
              <w:top w:val="none" w:color="000000" w:sz="4" w:space="0"/>
              <w:left w:val="none" w:color="000000" w:sz="4" w:space="0"/>
              <w:bottom w:val="single" w:color="080000" w:sz="8" w:space="0"/>
              <w:right w:val="single" w:color="080000" w:sz="8" w:space="0"/>
            </w:tcBorders>
            <w:tcW w:w="1515" w:type="dxa"/>
            <w:vAlign w:val="center"/>
            <w:textDirection w:val="lrTb"/>
            <w:noWrap w:val="false"/>
          </w:tcPr>
          <w:p>
            <w:pPr>
              <w:ind w:firstLine="480"/>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60</w:t>
            </w:r>
            <w:r/>
          </w:p>
        </w:tc>
        <w:tc>
          <w:tcPr>
            <w:tcBorders>
              <w:top w:val="none" w:color="000000" w:sz="4" w:space="0"/>
              <w:left w:val="none" w:color="000000" w:sz="4" w:space="0"/>
              <w:bottom w:val="single" w:color="080000" w:sz="8" w:space="0"/>
              <w:right w:val="single" w:color="000000" w:sz="4" w:space="0"/>
            </w:tcBorders>
            <w:tcW w:w="4408" w:type="dxa"/>
            <w:vAlign w:val="center"/>
            <w:textDirection w:val="lrTb"/>
            <w:noWrap w:val="false"/>
          </w:tcPr>
          <w:p>
            <w:pPr>
              <w:jc w:val="left"/>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包含管理人员，回收员、驾驶员，辅助工，台账资料人员等。</w:t>
            </w:r>
            <w:r/>
          </w:p>
        </w:tc>
      </w:tr>
    </w:tbl>
    <w:p>
      <w:pPr>
        <w:ind w:firstLine="0"/>
        <w:jc w:val="both"/>
        <w:spacing w:line="520" w:lineRule="exact"/>
        <w:widowControl w:val="off"/>
        <w:rPr>
          <w:rFonts w:ascii="宋体" w:hAnsi="宋体" w:eastAsia="宋体" w:cs="宋体"/>
          <w:bCs/>
          <w:color w:val="auto"/>
          <w:sz w:val="24"/>
          <w:szCs w:val="24"/>
          <w:highlight w:val="none"/>
          <w:lang w:val="en-US" w:eastAsia="zh-CN" w:bidi="ar-SA"/>
        </w:rPr>
      </w:pPr>
      <w:r>
        <w:rPr>
          <w:rFonts w:ascii="宋体" w:hAnsi="宋体" w:eastAsia="宋体" w:cs="宋体"/>
          <w:bCs/>
          <w:color w:val="auto"/>
          <w:sz w:val="24"/>
          <w:szCs w:val="24"/>
          <w:highlight w:val="none"/>
          <w:lang w:val="en-US" w:eastAsia="zh-CN" w:bidi="ar-SA"/>
        </w:rPr>
      </w:r>
      <w:r/>
    </w:p>
    <w:p>
      <w:pPr>
        <w:ind w:firstLine="0"/>
        <w:jc w:val="both"/>
        <w:spacing w:line="520" w:lineRule="exact"/>
        <w:widowControl w:val="off"/>
        <w:rPr>
          <w:rFonts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车辆配备表：</w:t>
      </w:r>
      <w:r/>
    </w:p>
    <w:tbl>
      <w:tblPr>
        <w:tblStyle w:val="867"/>
        <w:tblW w:w="8969"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605"/>
        <w:gridCol w:w="1521"/>
        <w:gridCol w:w="1635"/>
        <w:gridCol w:w="4484"/>
      </w:tblGrid>
      <w:tr>
        <w:trPr>
          <w:trHeight w:val="326"/>
        </w:trPr>
        <w:tc>
          <w:tcPr>
            <w:tcBorders>
              <w:top w:val="single" w:color="080000" w:sz="8" w:space="0"/>
              <w:left w:val="single" w:color="080000" w:sz="8" w:space="0"/>
              <w:bottom w:val="single" w:color="auto" w:sz="4" w:space="0"/>
              <w:right w:val="single" w:color="080000" w:sz="8" w:space="0"/>
            </w:tcBorders>
            <w:tcW w:w="724"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序号</w:t>
            </w:r>
            <w:r/>
          </w:p>
        </w:tc>
        <w:tc>
          <w:tcPr>
            <w:gridSpan w:val="2"/>
            <w:tcBorders>
              <w:top w:val="single" w:color="080000" w:sz="8" w:space="0"/>
              <w:left w:val="none" w:color="000000" w:sz="4" w:space="0"/>
              <w:bottom w:val="single" w:color="auto" w:sz="4" w:space="0"/>
              <w:right w:val="single" w:color="080000" w:sz="8" w:space="0"/>
            </w:tcBorders>
            <w:tcW w:w="2126"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项目名称</w:t>
            </w:r>
            <w:r/>
          </w:p>
        </w:tc>
        <w:tc>
          <w:tcPr>
            <w:tcBorders>
              <w:top w:val="single" w:color="080000" w:sz="8" w:space="0"/>
              <w:left w:val="none" w:color="000000" w:sz="4" w:space="0"/>
              <w:bottom w:val="single" w:color="auto" w:sz="4" w:space="0"/>
              <w:right w:val="single" w:color="080000" w:sz="8" w:space="0"/>
            </w:tcBorders>
            <w:tcW w:w="163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数量</w:t>
            </w:r>
            <w:r/>
          </w:p>
        </w:tc>
        <w:tc>
          <w:tcPr>
            <w:tcBorders>
              <w:top w:val="single" w:color="080000" w:sz="8" w:space="0"/>
              <w:left w:val="none" w:color="000000" w:sz="4" w:space="0"/>
              <w:bottom w:val="single" w:color="auto" w:sz="4" w:space="0"/>
              <w:right w:val="single" w:color="000000" w:sz="4" w:space="0"/>
            </w:tcBorders>
            <w:tcW w:w="4484"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说明</w:t>
            </w:r>
            <w:r/>
          </w:p>
        </w:tc>
      </w:tr>
      <w:tr>
        <w:trPr>
          <w:trHeight w:val="326"/>
        </w:trPr>
        <w:tc>
          <w:tcPr>
            <w:tcBorders>
              <w:top w:val="single" w:color="auto" w:sz="4" w:space="0"/>
              <w:left w:val="single" w:color="auto" w:sz="4" w:space="0"/>
              <w:right w:val="single" w:color="auto" w:sz="4" w:space="0"/>
            </w:tcBorders>
            <w:tcW w:w="724" w:type="dxa"/>
            <w:vAlign w:val="center"/>
            <w:vMerge w:val="restart"/>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right w:val="single" w:color="auto" w:sz="4" w:space="0"/>
            </w:tcBorders>
            <w:tcW w:w="605" w:type="dxa"/>
            <w:vAlign w:val="center"/>
            <w:vMerge w:val="restart"/>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车</w:t>
            </w:r>
            <w:r/>
          </w:p>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辆</w:t>
            </w:r>
            <w:r/>
          </w:p>
        </w:tc>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其他垃圾收运车</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23</w:t>
            </w:r>
            <w:r/>
          </w:p>
        </w:tc>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车辆的保养、维修、保险、维护、能耗</w:t>
            </w:r>
            <w:r/>
          </w:p>
        </w:tc>
      </w:tr>
      <w:tr>
        <w:trPr>
          <w:trHeight w:val="326"/>
        </w:trPr>
        <w:tc>
          <w:tcPr>
            <w:tcBorders>
              <w:left w:val="single" w:color="auto" w:sz="4" w:space="0"/>
              <w:right w:val="single" w:color="auto" w:sz="4" w:space="0"/>
            </w:tcBorders>
            <w:tcW w:w="724" w:type="dxa"/>
            <w:vAlign w:val="center"/>
            <w:vMerge w:val="continue"/>
            <w:textDirection w:val="lrTb"/>
            <w:noWrap w:val="false"/>
          </w:tcPr>
          <w:p>
            <w:pPr>
              <w:jc w:val="center"/>
              <w:spacing w:after="0" w:line="520" w:lineRule="exact"/>
              <w:rPr>
                <w:rFonts w:hint="default" w:ascii="宋体" w:hAnsi="宋体" w:cs="宋体"/>
                <w:color w:val="auto"/>
                <w:sz w:val="24"/>
                <w:highlight w:val="none"/>
              </w:rPr>
            </w:pPr>
            <w:r>
              <w:rPr>
                <w:rFonts w:hint="default" w:ascii="宋体" w:hAnsi="宋体" w:cs="宋体"/>
                <w:color w:val="auto"/>
                <w:sz w:val="24"/>
                <w:highlight w:val="none"/>
              </w:rPr>
            </w:r>
            <w:r/>
          </w:p>
        </w:tc>
        <w:tc>
          <w:tcPr>
            <w:tcBorders>
              <w:left w:val="single" w:color="auto" w:sz="4" w:space="0"/>
              <w:right w:val="single" w:color="auto" w:sz="4" w:space="0"/>
            </w:tcBorders>
            <w:tcW w:w="605" w:type="dxa"/>
            <w:vAlign w:val="center"/>
            <w:vMerge w:val="continue"/>
            <w:textDirection w:val="lrTb"/>
            <w:noWrap w:val="false"/>
          </w:tcPr>
          <w:p>
            <w:pPr>
              <w:jc w:val="center"/>
              <w:spacing w:after="0" w:line="520" w:lineRule="exact"/>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厨余垃圾驳运车</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20</w:t>
            </w:r>
            <w:r/>
          </w:p>
        </w:tc>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车辆的保养、维修、保险、维护、能耗</w:t>
            </w:r>
            <w:r/>
          </w:p>
        </w:tc>
      </w:tr>
      <w:tr>
        <w:trPr>
          <w:trHeight w:val="326"/>
        </w:trPr>
        <w:tc>
          <w:tcPr>
            <w:tcBorders>
              <w:left w:val="single" w:color="auto" w:sz="4" w:space="0"/>
              <w:bottom w:val="single" w:color="auto" w:sz="4" w:space="0"/>
              <w:right w:val="single" w:color="auto" w:sz="4" w:space="0"/>
            </w:tcBorders>
            <w:tcW w:w="724" w:type="dxa"/>
            <w:vAlign w:val="center"/>
            <w:vMerge w:val="continue"/>
            <w:textDirection w:val="lrTb"/>
            <w:noWrap w:val="false"/>
          </w:tcPr>
          <w:p>
            <w:pPr>
              <w:jc w:val="center"/>
              <w:spacing w:after="0" w:line="520" w:lineRule="exact"/>
              <w:rPr>
                <w:rFonts w:hint="default" w:ascii="宋体" w:hAnsi="宋体" w:cs="宋体"/>
                <w:color w:val="auto"/>
                <w:sz w:val="24"/>
                <w:highlight w:val="none"/>
              </w:rPr>
            </w:pPr>
            <w:r>
              <w:rPr>
                <w:rFonts w:hint="default" w:ascii="宋体" w:hAnsi="宋体" w:cs="宋体"/>
                <w:color w:val="auto"/>
                <w:sz w:val="24"/>
                <w:highlight w:val="none"/>
              </w:rPr>
            </w:r>
            <w:r/>
          </w:p>
        </w:tc>
        <w:tc>
          <w:tcPr>
            <w:tcBorders>
              <w:left w:val="single" w:color="auto" w:sz="4" w:space="0"/>
              <w:bottom w:val="single" w:color="auto" w:sz="4" w:space="0"/>
              <w:right w:val="single" w:color="auto" w:sz="4" w:space="0"/>
            </w:tcBorders>
            <w:tcW w:w="605" w:type="dxa"/>
            <w:vAlign w:val="center"/>
            <w:vMerge w:val="continue"/>
            <w:textDirection w:val="lrTb"/>
            <w:noWrap w:val="false"/>
          </w:tcPr>
          <w:p>
            <w:pPr>
              <w:jc w:val="center"/>
              <w:spacing w:after="0" w:line="520" w:lineRule="exact"/>
              <w:rPr>
                <w:rFonts w:hint="default" w:ascii="宋体" w:hAnsi="宋体" w:cs="宋体"/>
                <w:color w:val="auto"/>
                <w:sz w:val="24"/>
                <w:highlight w:val="none"/>
              </w:rPr>
            </w:pPr>
            <w:r>
              <w:rPr>
                <w:rFonts w:hint="default"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封闭式可回收车</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车辆的保养、维修、保险、维护、能耗</w:t>
            </w:r>
            <w:r/>
          </w:p>
        </w:tc>
      </w:tr>
    </w:tbl>
    <w:p>
      <w:pPr>
        <w:ind w:firstLine="0"/>
        <w:jc w:val="both"/>
        <w:spacing w:line="520" w:lineRule="exact"/>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jc w:val="both"/>
        <w:spacing w:after="120" w:line="52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附件：服务范围名单及明细</w:t>
      </w:r>
      <w:r/>
    </w:p>
    <w:tbl>
      <w:tblPr>
        <w:tblStyle w:val="867"/>
        <w:tblW w:w="8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843"/>
        <w:gridCol w:w="1143"/>
        <w:gridCol w:w="993"/>
        <w:gridCol w:w="993"/>
        <w:gridCol w:w="1099"/>
        <w:gridCol w:w="1129"/>
        <w:gridCol w:w="940"/>
        <w:gridCol w:w="1033"/>
      </w:tblGrid>
      <w:tr>
        <w:trPr>
          <w:jc w:val="center"/>
          <w:trHeight w:val="1967"/>
        </w:trPr>
        <w:tc>
          <w:tcPr>
            <w:tcW w:w="723" w:type="dxa"/>
            <w:vAlign w:val="center"/>
            <w:textDirection w:val="lrTb"/>
            <w:noWrap/>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序号</w:t>
            </w:r>
            <w:r/>
          </w:p>
        </w:tc>
        <w:tc>
          <w:tcPr>
            <w:tcW w:w="843" w:type="dxa"/>
            <w:vAlign w:val="center"/>
            <w:textDirection w:val="lrTb"/>
            <w:noWrap/>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服务区域</w:t>
            </w:r>
            <w:r/>
          </w:p>
        </w:tc>
        <w:tc>
          <w:tcPr>
            <w:tcW w:w="1143" w:type="dxa"/>
            <w:vAlign w:val="center"/>
            <w:textDirection w:val="lrTb"/>
            <w:noWrap w:val="false"/>
          </w:tcPr>
          <w:p>
            <w:pPr>
              <w:jc w:val="center"/>
              <w:spacing w:after="0" w:line="520" w:lineRule="exact"/>
              <w:widowControl/>
              <w:rPr>
                <w:rFonts w:hint="default" w:ascii="宋体" w:hAnsi="宋体" w:cs="宋体"/>
                <w:color w:val="auto"/>
                <w:sz w:val="24"/>
                <w:highlight w:val="none"/>
                <w:lang w:bidi="ar"/>
              </w:rPr>
            </w:pPr>
            <w:r>
              <w:rPr>
                <w:rFonts w:hint="eastAsia" w:ascii="宋体" w:hAnsi="宋体" w:cs="宋体"/>
                <w:color w:val="auto"/>
                <w:sz w:val="24"/>
                <w:highlight w:val="none"/>
                <w:lang w:bidi="ar"/>
              </w:rPr>
              <w:t xml:space="preserve">居民小区</w:t>
            </w:r>
            <w:r/>
          </w:p>
          <w:p>
            <w:pPr>
              <w:jc w:val="center"/>
              <w:spacing w:after="0" w:line="520" w:lineRule="exact"/>
              <w:widowControl/>
              <w:rPr>
                <w:rFonts w:hint="default" w:ascii="宋体" w:hAnsi="宋体" w:cs="宋体"/>
                <w:color w:val="auto"/>
                <w:sz w:val="24"/>
                <w:highlight w:val="none"/>
                <w:lang w:bidi="ar"/>
              </w:rPr>
            </w:pPr>
            <w:r>
              <w:rPr>
                <w:rFonts w:hint="eastAsia" w:ascii="宋体" w:hAnsi="宋体" w:cs="宋体"/>
                <w:color w:val="auto"/>
                <w:sz w:val="24"/>
                <w:highlight w:val="none"/>
                <w:lang w:bidi="ar"/>
              </w:rPr>
              <w:t xml:space="preserve">收集点</w:t>
            </w:r>
            <w:r/>
          </w:p>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lang w:bidi="ar"/>
              </w:rPr>
              <w:t xml:space="preserve">（个）</w:t>
            </w:r>
            <w:r/>
          </w:p>
        </w:tc>
        <w:tc>
          <w:tcPr>
            <w:tcW w:w="993" w:type="dxa"/>
            <w:vAlign w:val="center"/>
            <w:textDirection w:val="lrTb"/>
            <w:noWrap w:val="false"/>
          </w:tcPr>
          <w:p>
            <w:pPr>
              <w:jc w:val="center"/>
              <w:spacing w:after="0" w:line="520" w:lineRule="exact"/>
              <w:widowControl/>
              <w:rPr>
                <w:rFonts w:hint="default" w:ascii="宋体" w:hAnsi="宋体" w:cs="宋体"/>
                <w:color w:val="auto"/>
                <w:sz w:val="24"/>
                <w:highlight w:val="none"/>
                <w:lang w:bidi="ar"/>
              </w:rPr>
            </w:pPr>
            <w:r>
              <w:rPr>
                <w:rFonts w:hint="eastAsia" w:ascii="宋体" w:hAnsi="宋体" w:cs="宋体"/>
                <w:color w:val="auto"/>
                <w:sz w:val="24"/>
                <w:highlight w:val="none"/>
                <w:lang w:bidi="ar"/>
              </w:rPr>
              <w:t xml:space="preserve">城中村</w:t>
            </w:r>
            <w:r/>
          </w:p>
          <w:p>
            <w:pPr>
              <w:jc w:val="center"/>
              <w:spacing w:after="0" w:line="520" w:lineRule="exact"/>
              <w:widowControl/>
              <w:rPr>
                <w:rFonts w:hint="default" w:ascii="宋体" w:hAnsi="宋体" w:cs="宋体"/>
                <w:color w:val="auto"/>
                <w:sz w:val="24"/>
                <w:highlight w:val="none"/>
                <w:lang w:bidi="ar"/>
              </w:rPr>
            </w:pPr>
            <w:r>
              <w:rPr>
                <w:rFonts w:hint="eastAsia" w:ascii="宋体" w:hAnsi="宋体" w:cs="宋体"/>
                <w:color w:val="auto"/>
                <w:sz w:val="24"/>
                <w:highlight w:val="none"/>
                <w:lang w:bidi="ar"/>
              </w:rPr>
              <w:t xml:space="preserve">收集点</w:t>
            </w:r>
            <w:r/>
          </w:p>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lang w:bidi="ar"/>
              </w:rPr>
              <w:t xml:space="preserve">（个）</w:t>
            </w:r>
            <w:r/>
          </w:p>
        </w:tc>
        <w:tc>
          <w:tcPr>
            <w:tcW w:w="993" w:type="dxa"/>
            <w:vAlign w:val="center"/>
            <w:textDirection w:val="lrTb"/>
            <w:noWrap w:val="false"/>
          </w:tcPr>
          <w:p>
            <w:pPr>
              <w:jc w:val="center"/>
              <w:spacing w:after="0" w:line="520" w:lineRule="exact"/>
              <w:widowControl/>
              <w:rPr>
                <w:rFonts w:hint="default" w:ascii="宋体" w:hAnsi="宋体" w:cs="宋体"/>
                <w:color w:val="auto"/>
                <w:sz w:val="24"/>
                <w:highlight w:val="none"/>
                <w:lang w:bidi="ar"/>
              </w:rPr>
            </w:pPr>
            <w:r>
              <w:rPr>
                <w:rFonts w:hint="eastAsia" w:ascii="宋体" w:hAnsi="宋体" w:cs="宋体"/>
                <w:color w:val="auto"/>
                <w:sz w:val="24"/>
                <w:highlight w:val="none"/>
                <w:lang w:bidi="ar"/>
              </w:rPr>
              <w:t xml:space="preserve">驳运点</w:t>
            </w:r>
            <w:r/>
          </w:p>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lang w:bidi="ar"/>
              </w:rPr>
              <w:t xml:space="preserve">（个）</w:t>
            </w:r>
            <w:r/>
          </w:p>
        </w:tc>
        <w:tc>
          <w:tcPr>
            <w:tcW w:w="1099" w:type="dxa"/>
            <w:vAlign w:val="center"/>
            <w:textDirection w:val="lrTb"/>
            <w:noWrap w:val="false"/>
          </w:tcPr>
          <w:p>
            <w:pPr>
              <w:jc w:val="center"/>
              <w:spacing w:after="0" w:line="520" w:lineRule="exact"/>
              <w:widowControl/>
              <w:rPr>
                <w:rFonts w:hint="default" w:ascii="宋体" w:hAnsi="宋体" w:cs="宋体"/>
                <w:color w:val="auto"/>
                <w:sz w:val="24"/>
                <w:highlight w:val="none"/>
                <w:lang w:bidi="ar"/>
              </w:rPr>
            </w:pPr>
            <w:r>
              <w:rPr>
                <w:rFonts w:hint="eastAsia" w:ascii="宋体" w:hAnsi="宋体" w:cs="宋体"/>
                <w:color w:val="auto"/>
                <w:sz w:val="24"/>
                <w:highlight w:val="none"/>
                <w:lang w:bidi="ar"/>
              </w:rPr>
              <w:t xml:space="preserve">其他垃圾</w:t>
            </w:r>
            <w:r/>
          </w:p>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lang w:bidi="ar"/>
              </w:rPr>
              <w:t xml:space="preserve">收运车（台）</w:t>
            </w:r>
            <w:r/>
          </w:p>
        </w:tc>
        <w:tc>
          <w:tcPr>
            <w:tcW w:w="1129" w:type="dxa"/>
            <w:vAlign w:val="center"/>
            <w:textDirection w:val="lrTb"/>
            <w:noWrap w:val="false"/>
          </w:tcPr>
          <w:p>
            <w:pPr>
              <w:jc w:val="center"/>
              <w:spacing w:after="0" w:line="520" w:lineRule="exact"/>
              <w:widowControl/>
              <w:rPr>
                <w:rFonts w:hint="default" w:ascii="宋体" w:hAnsi="宋体" w:cs="宋体"/>
                <w:color w:val="auto"/>
                <w:sz w:val="24"/>
                <w:highlight w:val="none"/>
                <w:lang w:bidi="ar"/>
              </w:rPr>
            </w:pPr>
            <w:r>
              <w:rPr>
                <w:rFonts w:hint="eastAsia" w:ascii="宋体" w:hAnsi="宋体" w:cs="宋体"/>
                <w:color w:val="auto"/>
                <w:sz w:val="24"/>
                <w:highlight w:val="none"/>
                <w:lang w:bidi="ar"/>
              </w:rPr>
              <w:t xml:space="preserve">厨余垃圾</w:t>
            </w:r>
            <w:r/>
          </w:p>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lang w:bidi="ar"/>
              </w:rPr>
              <w:t xml:space="preserve">驳运车（台）</w:t>
            </w:r>
            <w:r/>
          </w:p>
        </w:tc>
        <w:tc>
          <w:tcPr>
            <w:tcW w:w="940" w:type="dxa"/>
            <w:textDirection w:val="lrTb"/>
            <w:noWrap w:val="false"/>
          </w:tcPr>
          <w:p>
            <w:pPr>
              <w:jc w:val="center"/>
              <w:spacing w:after="0" w:line="520" w:lineRule="exact"/>
              <w:rPr>
                <w:rFonts w:hint="default" w:ascii="宋体" w:hAnsi="宋体" w:cs="宋体"/>
                <w:bCs/>
                <w:color w:val="auto"/>
                <w:sz w:val="24"/>
                <w:highlight w:val="none"/>
              </w:rPr>
            </w:pPr>
            <w:r>
              <w:rPr>
                <w:rFonts w:hint="eastAsia" w:ascii="宋体" w:hAnsi="宋体" w:cs="宋体"/>
                <w:color w:val="auto"/>
                <w:sz w:val="24"/>
                <w:highlight w:val="none"/>
                <w:lang w:bidi="ar"/>
              </w:rPr>
              <w:t xml:space="preserve">封闭式可回收车（台）</w:t>
            </w:r>
            <w:r/>
          </w:p>
        </w:tc>
        <w:tc>
          <w:tcPr>
            <w:tcW w:w="1033"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督导员数量</w:t>
            </w:r>
            <w:r/>
          </w:p>
        </w:tc>
      </w:tr>
      <w:tr>
        <w:trPr>
          <w:jc w:val="center"/>
          <w:trHeight w:val="2041"/>
        </w:trPr>
        <w:tc>
          <w:tcPr>
            <w:tcW w:w="723" w:type="dxa"/>
            <w:vAlign w:val="center"/>
            <w:textDirection w:val="lrTb"/>
            <w:noWrap/>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lang w:bidi="ar"/>
              </w:rPr>
              <w:t xml:space="preserve">1</w:t>
            </w:r>
            <w:r/>
          </w:p>
        </w:tc>
        <w:tc>
          <w:tcPr>
            <w:tcW w:w="843" w:type="dxa"/>
            <w:vAlign w:val="center"/>
            <w:textDirection w:val="lrTb"/>
            <w:noWrap/>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lang w:bidi="ar"/>
              </w:rPr>
              <w:t xml:space="preserve">云龙</w:t>
            </w:r>
            <w:r/>
          </w:p>
        </w:tc>
        <w:tc>
          <w:tcPr>
            <w:tcW w:w="1143" w:type="dxa"/>
            <w:vAlign w:val="center"/>
            <w:textDirection w:val="lrTb"/>
            <w:noWrap/>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354</w:t>
            </w:r>
            <w:r/>
          </w:p>
        </w:tc>
        <w:tc>
          <w:tcPr>
            <w:tcW w:w="993" w:type="dxa"/>
            <w:vAlign w:val="center"/>
            <w:textDirection w:val="lrTb"/>
            <w:noWrap/>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82</w:t>
            </w:r>
            <w:r/>
          </w:p>
        </w:tc>
        <w:tc>
          <w:tcPr>
            <w:tcW w:w="993" w:type="dxa"/>
            <w:vAlign w:val="center"/>
            <w:textDirection w:val="lrTb"/>
            <w:noWrap/>
          </w:tcPr>
          <w:p>
            <w:pPr>
              <w:jc w:val="center"/>
              <w:spacing w:after="0" w:line="520" w:lineRule="exact"/>
              <w:widowControl/>
              <w:rPr>
                <w:rFonts w:hint="default" w:ascii="宋体" w:hAnsi="宋体" w:cs="宋体"/>
                <w:color w:val="auto"/>
                <w:sz w:val="24"/>
                <w:highlight w:val="none"/>
              </w:rPr>
            </w:pPr>
            <w:r>
              <w:rPr>
                <w:rFonts w:hint="default" w:ascii="宋体" w:hAnsi="宋体" w:cs="宋体"/>
                <w:color w:val="auto"/>
                <w:sz w:val="24"/>
                <w:highlight w:val="none"/>
              </w:rPr>
              <w:t xml:space="preserve">9</w:t>
            </w:r>
            <w:r/>
          </w:p>
        </w:tc>
        <w:tc>
          <w:tcPr>
            <w:tcW w:w="1099" w:type="dxa"/>
            <w:vAlign w:val="center"/>
            <w:textDirection w:val="lrTb"/>
            <w:noWrap/>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23</w:t>
            </w:r>
            <w:r/>
          </w:p>
        </w:tc>
        <w:tc>
          <w:tcPr>
            <w:tcW w:w="1129" w:type="dxa"/>
            <w:vAlign w:val="center"/>
            <w:textDirection w:val="lrTb"/>
            <w:noWrap/>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20</w:t>
            </w:r>
            <w:r/>
          </w:p>
        </w:tc>
        <w:tc>
          <w:tcPr>
            <w:tcW w:w="940" w:type="dxa"/>
            <w:vAlign w:val="center"/>
            <w:textDirection w:val="lrTb"/>
            <w:noWrap w:val="false"/>
          </w:tcPr>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8</w:t>
            </w:r>
            <w:r/>
          </w:p>
        </w:tc>
        <w:tc>
          <w:tcPr>
            <w:tcW w:w="1033" w:type="dxa"/>
            <w:vAlign w:val="center"/>
            <w:textDirection w:val="lrTb"/>
            <w:noWrap/>
          </w:tcPr>
          <w:p>
            <w:pPr>
              <w:jc w:val="center"/>
              <w:spacing w:after="0" w:line="520" w:lineRule="exact"/>
              <w:rPr>
                <w:rFonts w:hint="default" w:ascii="宋体" w:hAnsi="宋体" w:cs="宋体"/>
                <w:color w:val="auto"/>
                <w:sz w:val="24"/>
                <w:highlight w:val="none"/>
              </w:rPr>
            </w:pPr>
            <w:r>
              <w:rPr>
                <w:rFonts w:hint="default" w:ascii="宋体" w:hAnsi="宋体" w:cs="宋体"/>
                <w:color w:val="auto"/>
                <w:sz w:val="24"/>
                <w:highlight w:val="none"/>
              </w:rPr>
              <w:t xml:space="preserve">303</w:t>
            </w:r>
            <w:r/>
          </w:p>
        </w:tc>
      </w:tr>
    </w:tbl>
    <w:p>
      <w:pPr>
        <w:ind w:firstLine="482"/>
        <w:spacing w:after="0" w:line="520" w:lineRule="exact"/>
        <w:rPr>
          <w:rFonts w:hint="default" w:ascii="宋体" w:hAnsi="宋体" w:cs="宋体"/>
          <w:b/>
          <w:color w:val="auto"/>
          <w:sz w:val="24"/>
          <w:highlight w:val="none"/>
        </w:rPr>
        <w:outlineLvl w:val="1"/>
      </w:pPr>
      <w:r>
        <w:rPr>
          <w:rFonts w:hint="eastAsia" w:ascii="宋体" w:hAnsi="宋体" w:cs="宋体"/>
          <w:b/>
          <w:color w:val="auto"/>
          <w:sz w:val="24"/>
          <w:highlight w:val="none"/>
        </w:rPr>
        <w:t xml:space="preserve">注：上述</w:t>
      </w:r>
      <w:r>
        <w:rPr>
          <w:rFonts w:hint="eastAsia" w:ascii="宋体" w:hAnsi="宋体" w:cs="宋体"/>
          <w:b/>
          <w:color w:val="auto"/>
          <w:sz w:val="24"/>
          <w:highlight w:val="none"/>
          <w:lang w:val="en-US" w:eastAsia="zh-CN"/>
        </w:rPr>
        <w:t xml:space="preserve">所有</w:t>
      </w:r>
      <w:r>
        <w:rPr>
          <w:rFonts w:hint="eastAsia" w:ascii="宋体" w:hAnsi="宋体" w:cs="宋体"/>
          <w:b/>
          <w:color w:val="auto"/>
          <w:sz w:val="24"/>
          <w:highlight w:val="none"/>
        </w:rPr>
        <w:t xml:space="preserve">车辆乙方自行配备，投标时提供“</w:t>
      </w:r>
      <w:r>
        <w:rPr>
          <w:rFonts w:hint="eastAsia" w:ascii="宋体" w:hAnsi="宋体" w:cs="宋体"/>
          <w:b/>
          <w:color w:val="auto"/>
          <w:sz w:val="24"/>
          <w:highlight w:val="none"/>
          <w:lang w:val="en-US" w:eastAsia="zh-CN"/>
        </w:rPr>
        <w:t xml:space="preserve">车辆</w:t>
      </w:r>
      <w:r>
        <w:rPr>
          <w:rFonts w:hint="eastAsia" w:ascii="宋体" w:hAnsi="宋体" w:cs="宋体"/>
          <w:b/>
          <w:color w:val="auto"/>
          <w:sz w:val="24"/>
          <w:highlight w:val="none"/>
        </w:rPr>
        <w:t xml:space="preserve">配备承诺书”</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承诺书内容为自有配备时须在收到中标通知书后10日内携带</w:t>
      </w:r>
      <w:r>
        <w:rPr>
          <w:rFonts w:hint="eastAsia" w:ascii="宋体" w:hAnsi="宋体" w:cs="宋体"/>
          <w:b/>
          <w:color w:val="auto"/>
          <w:sz w:val="24"/>
          <w:highlight w:val="none"/>
          <w:lang w:val="en-US" w:eastAsia="zh-CN"/>
        </w:rPr>
        <w:t xml:space="preserve">车辆</w:t>
      </w:r>
      <w:r>
        <w:rPr>
          <w:rFonts w:hint="eastAsia" w:ascii="宋体" w:hAnsi="宋体" w:cs="宋体"/>
          <w:b/>
          <w:color w:val="auto"/>
          <w:sz w:val="24"/>
          <w:highlight w:val="none"/>
        </w:rPr>
        <w:t xml:space="preserve">发票及包含车牌的车辆照片至采购人核验，核验无误后签订政府采购合同；承诺书内容为租赁时须在收到中标通知书后10日内携带</w:t>
      </w:r>
      <w:r>
        <w:rPr>
          <w:rFonts w:hint="eastAsia" w:ascii="宋体" w:hAnsi="宋体" w:cs="宋体"/>
          <w:b/>
          <w:color w:val="auto"/>
          <w:sz w:val="24"/>
          <w:highlight w:val="none"/>
          <w:lang w:val="en-US" w:eastAsia="zh-CN"/>
        </w:rPr>
        <w:t xml:space="preserve">车辆</w:t>
      </w:r>
      <w:r>
        <w:rPr>
          <w:rFonts w:hint="eastAsia" w:ascii="宋体" w:hAnsi="宋体" w:cs="宋体"/>
          <w:b/>
          <w:color w:val="auto"/>
          <w:sz w:val="24"/>
          <w:highlight w:val="none"/>
        </w:rPr>
        <w:t xml:space="preserve">租赁协议及包含车牌的车辆照片至采购人核验，核验无误后签订政府采购合同，否则按中标供应商无承担此项目能力，视为放弃中标。上述人数不含法定节假日、周末调休人数；</w:t>
      </w:r>
      <w:r>
        <w:rPr>
          <w:rFonts w:hint="eastAsia" w:ascii="宋体" w:hAnsi="宋体" w:cs="宋体"/>
          <w:color w:val="auto"/>
          <w:sz w:val="24"/>
          <w:highlight w:val="none"/>
        </w:rPr>
        <w:t xml:space="preserve">督导员</w:t>
      </w:r>
      <w:r>
        <w:rPr>
          <w:rFonts w:hint="eastAsia" w:ascii="宋体" w:hAnsi="宋体" w:cs="宋体"/>
          <w:b/>
          <w:color w:val="auto"/>
          <w:sz w:val="24"/>
          <w:highlight w:val="none"/>
        </w:rPr>
        <w:t xml:space="preserve">为收集点专职工作人员，其他人员包括管理人员、车队长、车辆驾驶员、回收员、辅助工等。</w:t>
      </w:r>
      <w:r/>
    </w:p>
    <w:p>
      <w:pPr>
        <w:ind w:firstLine="482"/>
        <w:spacing w:after="0" w:line="52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六、其他内容和要求</w:t>
      </w:r>
      <w:r/>
    </w:p>
    <w:p>
      <w:pPr>
        <w:ind w:firstLine="480"/>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1.由于拆迁、施工改造等原因收集点停止使用的，扣减相应经费。</w:t>
      </w:r>
      <w:r/>
    </w:p>
    <w:p>
      <w:pPr>
        <w:ind w:firstLine="480"/>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2.投标人必须遵守劳动法，依法规范用工，全员签订劳动合同，符合条件的须参加基本社会养老保险，人员工资应不低于最新公布的徐州市最低工资标准的,工资待遇、各项津贴等按法律、法规及文件规定执行。</w:t>
      </w:r>
      <w:r/>
    </w:p>
    <w:p>
      <w:pPr>
        <w:ind w:firstLine="480"/>
        <w:spacing w:after="0" w:line="520" w:lineRule="exact"/>
        <w:rPr>
          <w:rFonts w:hint="default"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.按采购人要求在按月向采购人提供相关运行资料，包括但不限于人员信息、工资和加班费发放、设备（车辆）信息、垃圾清运量等，并确保资料信息的真实性。</w:t>
      </w:r>
      <w:r/>
    </w:p>
    <w:p>
      <w:pPr>
        <w:jc w:val="left"/>
        <w:spacing w:line="520" w:lineRule="exact"/>
        <w:widowControl/>
        <w:rPr>
          <w:rFonts w:ascii="宋体" w:hAnsi="宋体" w:cs="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bookmarkStart w:id="27" w:name="_Toc12977"/>
      <w:r/>
      <w:r/>
    </w:p>
    <w:p>
      <w:pPr>
        <w:jc w:val="left"/>
        <w:spacing w:after="0" w:line="520" w:lineRule="exact"/>
        <w:widowControl/>
        <w:rPr>
          <w:rFonts w:hint="default" w:ascii="宋体" w:hAnsi="宋体" w:cs="宋体"/>
          <w:color w:val="auto"/>
          <w:sz w:val="24"/>
          <w:highlight w:val="none"/>
        </w:rPr>
        <w:outlineLvl w:val="0"/>
      </w:pPr>
      <w:r>
        <w:rPr>
          <w:rFonts w:hint="eastAsia" w:ascii="宋体" w:hAnsi="宋体" w:cs="宋体"/>
          <w:color w:val="auto"/>
          <w:sz w:val="24"/>
          <w:highlight w:val="none"/>
        </w:rPr>
        <w:t xml:space="preserve">附件1：</w:t>
      </w:r>
      <w:bookmarkEnd w:id="27"/>
      <w:r/>
      <w:r/>
    </w:p>
    <w:p>
      <w:pPr>
        <w:ind w:firstLine="425"/>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生活垃圾分类市场化社会监督考核细则</w:t>
      </w:r>
      <w:r/>
    </w:p>
    <w:tbl>
      <w:tblPr>
        <w:tblStyle w:val="867"/>
        <w:tblW w:w="14820" w:type="dxa"/>
        <w:tblInd w:w="-4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189"/>
        <w:gridCol w:w="971"/>
        <w:gridCol w:w="1545"/>
        <w:gridCol w:w="1159"/>
        <w:gridCol w:w="1135"/>
        <w:gridCol w:w="721"/>
        <w:gridCol w:w="971"/>
        <w:gridCol w:w="927"/>
        <w:gridCol w:w="1432"/>
        <w:gridCol w:w="2042"/>
        <w:gridCol w:w="1903"/>
      </w:tblGrid>
      <w:tr>
        <w:trPr>
          <w:trHeight w:val="595"/>
          <w:tblHeader/>
        </w:trPr>
        <w:tc>
          <w:tcPr>
            <w:tcW w:w="825"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问题类型</w:t>
            </w:r>
            <w:r/>
          </w:p>
        </w:tc>
        <w:tc>
          <w:tcPr>
            <w:tcW w:w="1189"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小类</w:t>
            </w:r>
            <w:r/>
          </w:p>
        </w:tc>
        <w:tc>
          <w:tcPr>
            <w:gridSpan w:val="2"/>
            <w:tcW w:w="2516"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问题描述</w:t>
            </w:r>
            <w:r/>
          </w:p>
        </w:tc>
        <w:tc>
          <w:tcPr>
            <w:tcW w:w="1159"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奖励标准</w:t>
            </w:r>
            <w:r/>
          </w:p>
        </w:tc>
        <w:tc>
          <w:tcPr>
            <w:tcW w:w="1135"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扣罚标准</w:t>
            </w:r>
            <w:r/>
          </w:p>
        </w:tc>
        <w:tc>
          <w:tcPr>
            <w:tcW w:w="72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上报次数</w:t>
            </w:r>
            <w:r/>
          </w:p>
        </w:tc>
        <w:tc>
          <w:tcPr>
            <w:tcW w:w="971" w:type="dxa"/>
            <w:vAlign w:val="center"/>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处理</w:t>
            </w:r>
            <w:r/>
          </w:p>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时限</w:t>
            </w:r>
            <w:r/>
          </w:p>
        </w:tc>
        <w:tc>
          <w:tcPr>
            <w:tcW w:w="927" w:type="dxa"/>
            <w:vAlign w:val="center"/>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整改</w:t>
            </w:r>
            <w:r/>
          </w:p>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时限</w:t>
            </w:r>
            <w:r/>
          </w:p>
        </w:tc>
        <w:tc>
          <w:tcPr>
            <w:tcW w:w="1432"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采集时间</w:t>
            </w:r>
            <w:r/>
          </w:p>
        </w:tc>
        <w:tc>
          <w:tcPr>
            <w:tcW w:w="2042"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实施范围</w:t>
            </w:r>
            <w:r/>
          </w:p>
        </w:tc>
        <w:tc>
          <w:tcPr>
            <w:tcW w:w="1903"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备  注</w:t>
            </w:r>
            <w:r/>
          </w:p>
        </w:tc>
      </w:tr>
      <w:tr>
        <w:trPr>
          <w:trHeight w:val="2154"/>
        </w:trPr>
        <w:tc>
          <w:tcPr>
            <w:tcW w:w="825" w:type="dxa"/>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收集点管理</w:t>
            </w:r>
            <w:r/>
          </w:p>
        </w:tc>
        <w:tc>
          <w:tcPr>
            <w:tcW w:w="1189"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督导员配备</w:t>
            </w:r>
            <w:r/>
          </w:p>
        </w:tc>
        <w:tc>
          <w:tcPr>
            <w:gridSpan w:val="2"/>
            <w:tcW w:w="2516"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在收集点开放时段合理配备督导员</w:t>
            </w:r>
            <w:r/>
          </w:p>
        </w:tc>
        <w:tc>
          <w:tcPr>
            <w:tcW w:w="1159"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80元/例</w:t>
            </w:r>
            <w:r/>
          </w:p>
        </w:tc>
        <w:tc>
          <w:tcPr>
            <w:tcW w:w="1135"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100元/例</w:t>
            </w:r>
            <w:r/>
          </w:p>
        </w:tc>
        <w:tc>
          <w:tcPr>
            <w:tcW w:w="72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2次</w:t>
            </w:r>
            <w:r/>
          </w:p>
        </w:tc>
        <w:tc>
          <w:tcPr>
            <w:tcW w:w="97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10分钟</w:t>
            </w:r>
            <w:r/>
          </w:p>
        </w:tc>
        <w:tc>
          <w:tcPr>
            <w:tcW w:w="927"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4小时</w:t>
            </w:r>
            <w:r/>
          </w:p>
        </w:tc>
        <w:tc>
          <w:tcPr>
            <w:tcW w:w="1432"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开放时段内</w:t>
            </w:r>
            <w:r/>
          </w:p>
        </w:tc>
        <w:tc>
          <w:tcPr>
            <w:tcW w:w="2042" w:type="dxa"/>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收集点</w:t>
            </w:r>
            <w:r/>
          </w:p>
        </w:tc>
        <w:tc>
          <w:tcPr>
            <w:tcW w:w="1903" w:type="dxa"/>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收集点开放时段以收集点上公示的时间为准；督导员配带统一标志。</w:t>
            </w:r>
            <w:r/>
          </w:p>
        </w:tc>
      </w:tr>
      <w:tr>
        <w:trPr>
          <w:trHeight w:val="888"/>
        </w:trPr>
        <w:tc>
          <w:tcPr>
            <w:tcW w:w="825"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189" w:type="dxa"/>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收集点室内管理</w:t>
            </w:r>
            <w:r/>
          </w:p>
        </w:tc>
        <w:tc>
          <w:tcPr>
            <w:tcW w:w="97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收集容器规范</w:t>
            </w:r>
            <w:r/>
          </w:p>
        </w:tc>
        <w:tc>
          <w:tcPr>
            <w:tcW w:w="1545" w:type="dxa"/>
            <w:vAlign w:val="center"/>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收集容器类别、标志标识不符合要求</w:t>
            </w:r>
            <w:r/>
          </w:p>
        </w:tc>
        <w:tc>
          <w:tcPr>
            <w:tcW w:w="1159" w:type="dxa"/>
            <w:vAlign w:val="center"/>
            <w:textDirection w:val="lrTb"/>
            <w:noWrap w:val="false"/>
          </w:tcPr>
          <w:p>
            <w:pPr>
              <w:jc w:val="center"/>
              <w:spacing w:after="0" w:line="52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w:t>
            </w:r>
            <w:r/>
          </w:p>
        </w:tc>
        <w:tc>
          <w:tcPr>
            <w:tcW w:w="1135"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10元/处</w:t>
            </w:r>
            <w:r/>
          </w:p>
        </w:tc>
        <w:tc>
          <w:tcPr>
            <w:tcW w:w="721" w:type="dxa"/>
            <w:vAlign w:val="center"/>
            <w:textDirection w:val="lrTb"/>
            <w:noWrap w:val="false"/>
          </w:tcPr>
          <w:p>
            <w:pPr>
              <w:jc w:val="center"/>
              <w:spacing w:after="0" w:line="52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2次</w:t>
            </w:r>
            <w:r/>
          </w:p>
        </w:tc>
        <w:tc>
          <w:tcPr>
            <w:tcW w:w="971" w:type="dxa"/>
            <w:vAlign w:val="center"/>
            <w:textDirection w:val="lrTb"/>
            <w:noWrap w:val="false"/>
          </w:tcPr>
          <w:p>
            <w:pPr>
              <w:jc w:val="center"/>
              <w:spacing w:after="0"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第2次发现之前</w:t>
            </w:r>
            <w:r/>
          </w:p>
        </w:tc>
        <w:tc>
          <w:tcPr>
            <w:tcW w:w="927"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rPr>
              <w:t xml:space="preserve">分钟</w:t>
            </w:r>
            <w:r/>
          </w:p>
        </w:tc>
        <w:tc>
          <w:tcPr>
            <w:tcW w:w="1432"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开放时段内</w:t>
            </w:r>
            <w:r/>
          </w:p>
        </w:tc>
        <w:tc>
          <w:tcPr>
            <w:tcW w:w="2042"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903" w:type="dxa"/>
            <w:vAlign w:val="center"/>
            <w:vMerge w:val="restart"/>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使用视频报送，体现收集点号及整体情况；收集点开放时段以收集点上公示的时间为准。</w:t>
            </w:r>
            <w:r/>
          </w:p>
        </w:tc>
      </w:tr>
      <w:tr>
        <w:trPr>
          <w:trHeight w:val="1755"/>
        </w:trPr>
        <w:tc>
          <w:tcPr>
            <w:tcW w:w="825"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189" w:type="dxa"/>
            <w:vAlign w:val="center"/>
            <w:vMerge w:val="continue"/>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971" w:type="dxa"/>
            <w:vAlign w:val="center"/>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室内</w:t>
            </w:r>
            <w:r/>
          </w:p>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卫生</w:t>
            </w:r>
            <w:r/>
          </w:p>
        </w:tc>
        <w:tc>
          <w:tcPr>
            <w:tcW w:w="1545"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收集点室内有积存垃圾、大面积污水等</w:t>
            </w:r>
            <w:r/>
          </w:p>
        </w:tc>
        <w:tc>
          <w:tcPr>
            <w:tcW w:w="1159" w:type="dxa"/>
            <w:vAlign w:val="center"/>
            <w:textDirection w:val="lrTb"/>
            <w:noWrap/>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10元/处</w:t>
            </w:r>
            <w:r/>
          </w:p>
        </w:tc>
        <w:tc>
          <w:tcPr>
            <w:tcW w:w="1135" w:type="dxa"/>
            <w:vAlign w:val="center"/>
            <w:textDirection w:val="lrTb"/>
            <w:noWrap/>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30元/处</w:t>
            </w:r>
            <w:r/>
          </w:p>
        </w:tc>
        <w:tc>
          <w:tcPr>
            <w:tcW w:w="721" w:type="dxa"/>
            <w:vAlign w:val="center"/>
            <w:textDirection w:val="lrTb"/>
            <w:noWrap/>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2次</w:t>
            </w:r>
            <w:r/>
          </w:p>
        </w:tc>
        <w:tc>
          <w:tcPr>
            <w:tcW w:w="97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10分钟</w:t>
            </w:r>
            <w:r/>
          </w:p>
        </w:tc>
        <w:tc>
          <w:tcPr>
            <w:tcW w:w="927"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30分钟</w:t>
            </w:r>
            <w:r/>
          </w:p>
        </w:tc>
        <w:tc>
          <w:tcPr>
            <w:tcW w:w="1432"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开放时段内</w:t>
            </w:r>
            <w:r/>
          </w:p>
        </w:tc>
        <w:tc>
          <w:tcPr>
            <w:tcW w:w="2042"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903"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1605"/>
        </w:trPr>
        <w:tc>
          <w:tcPr>
            <w:tcW w:w="825"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189"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收集点管理</w:t>
            </w:r>
            <w:r/>
          </w:p>
        </w:tc>
        <w:tc>
          <w:tcPr>
            <w:tcW w:w="971" w:type="dxa"/>
            <w:vAlign w:val="center"/>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设施</w:t>
            </w:r>
            <w:r/>
          </w:p>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w:t>
            </w:r>
            <w:r/>
          </w:p>
        </w:tc>
        <w:tc>
          <w:tcPr>
            <w:tcW w:w="1545" w:type="dxa"/>
            <w:vAlign w:val="center"/>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洗手、照明设施正常使用</w:t>
            </w:r>
            <w:r/>
          </w:p>
        </w:tc>
        <w:tc>
          <w:tcPr>
            <w:tcW w:w="1159" w:type="dxa"/>
            <w:vAlign w:val="center"/>
            <w:textDirection w:val="lrTb"/>
            <w:noWrap/>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10元/处</w:t>
            </w:r>
            <w:r/>
          </w:p>
        </w:tc>
        <w:tc>
          <w:tcPr>
            <w:tcW w:w="1135" w:type="dxa"/>
            <w:vAlign w:val="center"/>
            <w:textDirection w:val="lrTb"/>
            <w:noWrap/>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30元/处</w:t>
            </w:r>
            <w:r/>
          </w:p>
        </w:tc>
        <w:tc>
          <w:tcPr>
            <w:tcW w:w="721" w:type="dxa"/>
            <w:vAlign w:val="center"/>
            <w:textDirection w:val="lrTb"/>
            <w:noWrap/>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2次</w:t>
            </w:r>
            <w:r/>
          </w:p>
        </w:tc>
        <w:tc>
          <w:tcPr>
            <w:tcW w:w="971" w:type="dxa"/>
            <w:vAlign w:val="center"/>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10分钟</w:t>
            </w:r>
            <w:r/>
          </w:p>
        </w:tc>
        <w:tc>
          <w:tcPr>
            <w:tcW w:w="927" w:type="dxa"/>
            <w:vAlign w:val="center"/>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30分钟</w:t>
            </w:r>
            <w:r/>
          </w:p>
        </w:tc>
        <w:tc>
          <w:tcPr>
            <w:tcW w:w="1432" w:type="dxa"/>
            <w:vAlign w:val="center"/>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开放时段内</w:t>
            </w:r>
            <w:r/>
          </w:p>
        </w:tc>
        <w:tc>
          <w:tcPr>
            <w:tcW w:w="2042"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903"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使用视频报送，体现收集点编号及收集点内整体情况</w:t>
            </w:r>
            <w:r/>
          </w:p>
        </w:tc>
      </w:tr>
      <w:tr>
        <w:trPr>
          <w:trHeight w:val="3044"/>
        </w:trPr>
        <w:tc>
          <w:tcPr>
            <w:tcW w:w="825"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189"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混收混运</w:t>
            </w:r>
            <w:r/>
          </w:p>
        </w:tc>
        <w:tc>
          <w:tcPr>
            <w:tcW w:w="97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将已分类的生活垃圾混合收运</w:t>
            </w:r>
            <w:r/>
          </w:p>
        </w:tc>
        <w:tc>
          <w:tcPr>
            <w:tcW w:w="1545"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80元/例</w:t>
            </w:r>
            <w:r/>
          </w:p>
        </w:tc>
        <w:tc>
          <w:tcPr>
            <w:tcW w:w="1159" w:type="dxa"/>
            <w:vAlign w:val="center"/>
            <w:textDirection w:val="lrTb"/>
            <w:noWrap/>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100元/例</w:t>
            </w:r>
            <w:r/>
          </w:p>
        </w:tc>
        <w:tc>
          <w:tcPr>
            <w:tcW w:w="1135" w:type="dxa"/>
            <w:vAlign w:val="center"/>
            <w:textDirection w:val="lrTb"/>
            <w:noWrap/>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1次</w:t>
            </w:r>
            <w:r/>
          </w:p>
        </w:tc>
        <w:tc>
          <w:tcPr>
            <w:tcW w:w="721" w:type="dxa"/>
            <w:vAlign w:val="center"/>
            <w:textDirection w:val="lrTb"/>
            <w:noWrap/>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无</w:t>
            </w:r>
            <w:r/>
          </w:p>
        </w:tc>
        <w:tc>
          <w:tcPr>
            <w:tcW w:w="97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4小时</w:t>
            </w:r>
            <w:r/>
          </w:p>
        </w:tc>
        <w:tc>
          <w:tcPr>
            <w:tcW w:w="927"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24小时</w:t>
            </w:r>
            <w:r/>
          </w:p>
        </w:tc>
        <w:tc>
          <w:tcPr>
            <w:tcW w:w="1432"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开放时段内</w:t>
            </w:r>
            <w:r/>
          </w:p>
        </w:tc>
        <w:tc>
          <w:tcPr>
            <w:tcW w:w="2042"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举报车辆为市场化企业车辆；使用视频报送，体现远景、近景及不规范车辆车牌号等信息；车身严重脏污指收集车箱体外部存在明显污渍、污垢超过1平方米</w:t>
            </w:r>
            <w:r/>
          </w:p>
        </w:tc>
        <w:tc>
          <w:tcPr>
            <w:tcW w:w="1903" w:type="dxa"/>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使用视频报送，体现收集点编号</w:t>
            </w:r>
            <w:r/>
          </w:p>
        </w:tc>
      </w:tr>
      <w:tr>
        <w:trPr>
          <w:trHeight w:val="1698"/>
        </w:trPr>
        <w:tc>
          <w:tcPr>
            <w:tcW w:w="825" w:type="dxa"/>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分类收运</w:t>
            </w:r>
            <w:r/>
          </w:p>
        </w:tc>
        <w:tc>
          <w:tcPr>
            <w:tcW w:w="1189"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车容车貌不规范</w:t>
            </w:r>
            <w:r/>
          </w:p>
        </w:tc>
        <w:tc>
          <w:tcPr>
            <w:gridSpan w:val="2"/>
            <w:tcW w:w="2516"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车身严重脏污</w:t>
            </w:r>
            <w:r/>
          </w:p>
        </w:tc>
        <w:tc>
          <w:tcPr>
            <w:tcW w:w="1159"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30元/例</w:t>
            </w:r>
            <w:r/>
          </w:p>
        </w:tc>
        <w:tc>
          <w:tcPr>
            <w:tcW w:w="1135"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50元/例</w:t>
            </w:r>
            <w:r/>
          </w:p>
        </w:tc>
        <w:tc>
          <w:tcPr>
            <w:tcW w:w="721" w:type="dxa"/>
            <w:vAlign w:val="center"/>
            <w:textDirection w:val="lrTb"/>
            <w:noWrap/>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1次</w:t>
            </w:r>
            <w:r/>
          </w:p>
        </w:tc>
        <w:tc>
          <w:tcPr>
            <w:tcW w:w="97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无</w:t>
            </w:r>
            <w:r/>
          </w:p>
        </w:tc>
        <w:tc>
          <w:tcPr>
            <w:tcW w:w="927"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6小时</w:t>
            </w:r>
            <w:r/>
          </w:p>
        </w:tc>
        <w:tc>
          <w:tcPr>
            <w:tcW w:w="1432"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24小时</w:t>
            </w:r>
            <w:r/>
          </w:p>
        </w:tc>
        <w:tc>
          <w:tcPr>
            <w:tcW w:w="2042" w:type="dxa"/>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主城区</w:t>
            </w:r>
            <w:r/>
          </w:p>
        </w:tc>
        <w:tc>
          <w:tcPr>
            <w:tcW w:w="1903"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595"/>
        </w:trPr>
        <w:tc>
          <w:tcPr>
            <w:tcW w:w="825"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189" w:type="dxa"/>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车容车貌不规范</w:t>
            </w:r>
            <w:r/>
          </w:p>
        </w:tc>
        <w:tc>
          <w:tcPr>
            <w:gridSpan w:val="2"/>
            <w:tcW w:w="2516"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车身颜色或标志不符合相关标准</w:t>
            </w:r>
            <w:r/>
          </w:p>
        </w:tc>
        <w:tc>
          <w:tcPr>
            <w:tcW w:w="1159"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30元/处</w:t>
            </w:r>
            <w:r/>
          </w:p>
        </w:tc>
        <w:tc>
          <w:tcPr>
            <w:tcW w:w="1135"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50元/处</w:t>
            </w:r>
            <w:r/>
          </w:p>
        </w:tc>
        <w:tc>
          <w:tcPr>
            <w:tcW w:w="72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1次</w:t>
            </w:r>
            <w:r/>
          </w:p>
        </w:tc>
        <w:tc>
          <w:tcPr>
            <w:tcW w:w="97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无</w:t>
            </w:r>
            <w:r/>
          </w:p>
        </w:tc>
        <w:tc>
          <w:tcPr>
            <w:tcW w:w="927"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6小时</w:t>
            </w:r>
            <w:r/>
          </w:p>
        </w:tc>
        <w:tc>
          <w:tcPr>
            <w:tcW w:w="1432"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24小时</w:t>
            </w:r>
            <w:r/>
          </w:p>
        </w:tc>
        <w:tc>
          <w:tcPr>
            <w:tcW w:w="2042"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903"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r>
        <w:trPr>
          <w:trHeight w:val="595"/>
        </w:trPr>
        <w:tc>
          <w:tcPr>
            <w:tcW w:w="825"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189"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gridSpan w:val="2"/>
            <w:tcW w:w="2516"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车身油漆脱落达车身面积三分之一以上</w:t>
            </w:r>
            <w:r/>
          </w:p>
        </w:tc>
        <w:tc>
          <w:tcPr>
            <w:tcW w:w="1159"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200元/例</w:t>
            </w:r>
            <w:r/>
          </w:p>
        </w:tc>
        <w:tc>
          <w:tcPr>
            <w:tcW w:w="1135"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200元/例</w:t>
            </w:r>
            <w:r/>
          </w:p>
        </w:tc>
        <w:tc>
          <w:tcPr>
            <w:tcW w:w="72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1次</w:t>
            </w:r>
            <w:r/>
          </w:p>
        </w:tc>
        <w:tc>
          <w:tcPr>
            <w:tcW w:w="97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无</w:t>
            </w:r>
            <w:r/>
          </w:p>
        </w:tc>
        <w:tc>
          <w:tcPr>
            <w:tcW w:w="927"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48小时</w:t>
            </w:r>
            <w:r/>
          </w:p>
        </w:tc>
        <w:tc>
          <w:tcPr>
            <w:tcW w:w="1432"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24小时</w:t>
            </w:r>
            <w:r/>
          </w:p>
        </w:tc>
        <w:tc>
          <w:tcPr>
            <w:tcW w:w="2042"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W w:w="1903"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r>
    </w:tbl>
    <w:p>
      <w:pPr>
        <w:jc w:val="left"/>
        <w:spacing w:after="0" w:line="520" w:lineRule="exact"/>
        <w:widowControl/>
        <w:rPr>
          <w:rFonts w:hint="default" w:ascii="宋体" w:hAnsi="宋体" w:cs="宋体"/>
          <w:color w:val="auto"/>
          <w:sz w:val="24"/>
          <w:highlight w:val="none"/>
        </w:rPr>
      </w:pPr>
      <w:r>
        <w:rPr>
          <w:rFonts w:hint="default" w:ascii="宋体" w:hAnsi="宋体" w:cs="宋体"/>
          <w:color w:val="auto"/>
          <w:sz w:val="24"/>
          <w:highlight w:val="none"/>
        </w:rPr>
      </w:r>
      <w:r/>
    </w:p>
    <w:p>
      <w:pPr>
        <w:jc w:val="left"/>
        <w:spacing w:after="0" w:line="520" w:lineRule="exact"/>
        <w:widowControl/>
        <w:rPr>
          <w:rFonts w:hint="default" w:ascii="宋体" w:hAnsi="宋体" w:cs="宋体"/>
          <w:color w:val="auto"/>
          <w:sz w:val="24"/>
          <w:highlight w:val="none"/>
        </w:rPr>
        <w:outlineLvl w:val="0"/>
      </w:pPr>
      <w:r>
        <w:rPr>
          <w:rFonts w:hint="eastAsia" w:ascii="宋体" w:hAnsi="宋体" w:cs="宋体"/>
          <w:color w:val="auto"/>
          <w:sz w:val="24"/>
          <w:highlight w:val="none"/>
        </w:rPr>
        <w:br w:type="page" w:clear="all"/>
      </w:r>
      <w:bookmarkStart w:id="28" w:name="_Toc8004"/>
      <w:r>
        <w:rPr>
          <w:rFonts w:hint="eastAsia" w:ascii="宋体" w:hAnsi="宋体" w:cs="宋体"/>
          <w:color w:val="auto"/>
          <w:sz w:val="24"/>
          <w:highlight w:val="none"/>
        </w:rPr>
        <w:t xml:space="preserve">附件2：</w:t>
      </w:r>
      <w:bookmarkEnd w:id="28"/>
      <w:r/>
      <w:r/>
    </w:p>
    <w:p>
      <w:pPr>
        <w:ind w:firstLine="425"/>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生活垃圾分类集中收集点管理考核细则</w:t>
      </w:r>
      <w:r/>
    </w:p>
    <w:tbl>
      <w:tblPr>
        <w:tblStyle w:val="86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1177"/>
        <w:gridCol w:w="799"/>
        <w:gridCol w:w="3239"/>
        <w:gridCol w:w="8851"/>
      </w:tblGrid>
      <w:tr>
        <w:trPr>
          <w:trHeight w:val="295"/>
          <w:tblHeader/>
        </w:trPr>
        <w:tc>
          <w:tcPr>
            <w:gridSpan w:val="2"/>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考核项目</w:t>
            </w:r>
            <w:r/>
          </w:p>
        </w:tc>
        <w:tc>
          <w:tcPr>
            <w:tcBorders>
              <w:top w:val="single" w:color="auto" w:sz="4" w:space="0"/>
              <w:left w:val="none" w:color="000000" w:sz="4" w:space="0"/>
              <w:bottom w:val="single" w:color="auto" w:sz="4" w:space="0"/>
              <w:right w:val="single" w:color="auto" w:sz="4" w:space="0"/>
            </w:tcBorders>
            <w:tcW w:w="3239"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作业要求</w:t>
            </w:r>
            <w:r/>
          </w:p>
        </w:tc>
        <w:tc>
          <w:tcPr>
            <w:tcBorders>
              <w:top w:val="single" w:color="auto" w:sz="4" w:space="0"/>
              <w:left w:val="none" w:color="000000" w:sz="4" w:space="0"/>
              <w:bottom w:val="single" w:color="auto" w:sz="4" w:space="0"/>
              <w:right w:val="single" w:color="auto" w:sz="4" w:space="0"/>
            </w:tcBorders>
            <w:tcW w:w="8851" w:type="dxa"/>
            <w:vAlign w:val="center"/>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扣分标准</w:t>
            </w:r>
            <w:r/>
          </w:p>
        </w:tc>
      </w:tr>
      <w:tr>
        <w:trPr>
          <w:trHeight w:val="1100"/>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管理标准（30分）</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制度管理</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建立岗位培训制度、台账制度</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督导员未经培训上岗的，每次扣1-2分，业务不熟悉的，每次扣1分；无相关台账或台账记录不全、不规范的，每次扣1-3分。</w:t>
            </w:r>
            <w:r/>
          </w:p>
        </w:tc>
      </w:tr>
      <w:tr>
        <w:trPr>
          <w:trHeight w:val="82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标志标识管理</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各项生活垃圾分类标志标识符合要求，并保持完好、清晰、整洁</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未按要求设置分类标志，每处扣1-2分，标志错误或不规范的，每处扣1-2分。</w:t>
            </w:r>
            <w:r/>
          </w:p>
        </w:tc>
      </w:tr>
      <w:tr>
        <w:trPr>
          <w:trHeight w:val="164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人员管理</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督导员佩戴工作证，统一服装上岗，保持整洁；在开放时段督导居民分类投放生活垃圾，并对每户投放情况进行记录</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未着统一工作服的，每次扣1分，着装不规范的，每次扣1分；未佩戴工作证的，每次扣1分；未对每户投放情况进行记录的，每次扣1-5分，记录不规范、不准确的，每次扣1-5分。</w:t>
            </w:r>
            <w:r/>
          </w:p>
        </w:tc>
      </w:tr>
      <w:tr>
        <w:trPr>
          <w:trHeight w:val="55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作业工具管理</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作业工具规范,符合使用要求，摆放整齐，不乱塞乱放</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作业工作摆放不整齐，乱塞乱放的，每次扣1-2分。</w:t>
            </w:r>
            <w:r/>
          </w:p>
        </w:tc>
      </w:tr>
      <w:tr>
        <w:trPr>
          <w:trHeight w:val="602"/>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设施标准（30分）</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洗手设施</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保证洗手设施功能完好，开放时段正常使用</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开放时段洗手设施不能正常使用的，每次扣1-2分。</w:t>
            </w:r>
            <w:r/>
          </w:p>
        </w:tc>
      </w:tr>
      <w:tr>
        <w:trPr>
          <w:trHeight w:val="82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照明设施</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保证照明设施功能完好，光线不足条件正常使用</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光线不足条件下未及时开启照明设备，影响居民正常投放的，每次扣1-2分。</w:t>
            </w:r>
            <w:r/>
          </w:p>
        </w:tc>
      </w:tr>
      <w:tr>
        <w:trPr>
          <w:trHeight w:val="1100"/>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其他设施要求</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收集点门窗功能完好，采取通风、除臭等措施</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收集点门窗损坏未及时修复的，每处扣3-5分；未采取通风、除臭等措施的，每缺一项扣1-2分，扣完为止。</w:t>
            </w:r>
            <w:r/>
          </w:p>
        </w:tc>
      </w:tr>
      <w:tr>
        <w:trPr>
          <w:trHeight w:val="1645"/>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质量标准（40分）</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环境净</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收集点内应保持场地整洁，定时清洗、消杀，无可视蚊蝇，无散落、存留垃圾和污水，无异味散发，无乱拉乱挂，无积尘、蛛网、杂物及乱贴乱画。</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未定时清洗、消杀的，有可视蚊蝇，有异味的，有积尘或蛛网，每处扣1-2分；散落、留存垃圾或污水，每处1-3分；存在乱拉乱挂、乱堆杂物、乱贴乱画的，每处扣1-2分。</w:t>
            </w:r>
            <w:r/>
          </w:p>
        </w:tc>
      </w:tr>
      <w:tr>
        <w:trPr>
          <w:trHeight w:val="99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垃圾收集容器净</w:t>
            </w:r>
            <w:r/>
          </w:p>
        </w:tc>
        <w:tc>
          <w:tcPr>
            <w:tcBorders>
              <w:top w:val="none" w:color="000000" w:sz="4" w:space="0"/>
              <w:left w:val="none" w:color="000000" w:sz="4" w:space="0"/>
              <w:bottom w:val="single" w:color="auto" w:sz="4" w:space="0"/>
              <w:right w:val="single" w:color="auto" w:sz="4" w:space="0"/>
            </w:tcBorders>
            <w:tcW w:w="3239"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收集点内收集容器类别设置、摆放符合要求，无缺失、无破损、无乱摆乱放现象，关闭时段收集点门外无垃圾桶；定时清洗、消杀，保持容器外表面干净、无吊挂，无积垢；垃圾应及时清除，无满溢。</w:t>
            </w:r>
            <w:r/>
          </w:p>
        </w:tc>
        <w:tc>
          <w:tcPr>
            <w:tcBorders>
              <w:top w:val="none" w:color="000000" w:sz="4" w:space="0"/>
              <w:left w:val="none" w:color="000000" w:sz="4" w:space="0"/>
              <w:bottom w:val="single" w:color="auto" w:sz="4" w:space="0"/>
              <w:right w:val="single" w:color="auto" w:sz="4" w:space="0"/>
            </w:tcBorders>
            <w:tcW w:w="8851"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容器类别设置错误、摆放不符合要求，破损、缺失或乱摆乱放的，每个扣1-2分；关闭时段收集点门外摆放垃圾桶的，每例扣2-3分；未及时清洗、消杀，收集容器外体脏污的，每个扣1-3分；垃圾清除不及时，造成垃圾满溢的，每处扣2-5分。</w:t>
            </w:r>
            <w:r/>
          </w:p>
        </w:tc>
      </w:tr>
    </w:tbl>
    <w:p>
      <w:pPr>
        <w:jc w:val="center"/>
        <w:spacing w:after="0" w:line="520" w:lineRule="exact"/>
        <w:rPr>
          <w:rFonts w:hint="default" w:ascii="宋体" w:hAnsi="宋体" w:cs="宋体"/>
          <w:color w:val="auto"/>
          <w:sz w:val="24"/>
          <w:highlight w:val="none"/>
        </w:rPr>
      </w:pPr>
      <w:r>
        <w:rPr>
          <w:rFonts w:hint="default" w:ascii="宋体" w:hAnsi="宋体" w:cs="宋体"/>
          <w:color w:val="auto"/>
          <w:sz w:val="24"/>
          <w:highlight w:val="none"/>
        </w:rPr>
      </w:r>
      <w:r/>
    </w:p>
    <w:p>
      <w:pPr>
        <w:spacing w:after="0" w:line="520" w:lineRule="exact"/>
        <w:rPr>
          <w:rFonts w:hint="default" w:ascii="宋体" w:hAnsi="宋体" w:cs="宋体"/>
          <w:color w:val="auto"/>
          <w:sz w:val="24"/>
          <w:highlight w:val="none"/>
        </w:rPr>
        <w:outlineLvl w:val="0"/>
      </w:pPr>
      <w:r>
        <w:rPr>
          <w:rFonts w:hint="eastAsia" w:ascii="宋体" w:hAnsi="宋体" w:cs="宋体"/>
          <w:color w:val="auto"/>
          <w:sz w:val="24"/>
          <w:highlight w:val="none"/>
        </w:rPr>
        <w:br w:type="page" w:clear="all"/>
      </w:r>
      <w:bookmarkStart w:id="29" w:name="_Toc30731"/>
      <w:r>
        <w:rPr>
          <w:rFonts w:hint="eastAsia" w:ascii="宋体" w:hAnsi="宋体" w:cs="宋体"/>
          <w:color w:val="auto"/>
          <w:sz w:val="24"/>
          <w:highlight w:val="none"/>
        </w:rPr>
        <w:t xml:space="preserve">附件3：</w:t>
      </w:r>
      <w:bookmarkEnd w:id="29"/>
      <w:r/>
      <w:r/>
    </w:p>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生活垃圾分类收运考核细则</w:t>
      </w:r>
      <w:r/>
    </w:p>
    <w:tbl>
      <w:tblPr>
        <w:tblStyle w:val="86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855"/>
        <w:gridCol w:w="996"/>
        <w:gridCol w:w="5168"/>
        <w:gridCol w:w="7047"/>
      </w:tblGrid>
      <w:tr>
        <w:trPr>
          <w:trHeight w:val="566"/>
          <w:tblHeader/>
        </w:trPr>
        <w:tc>
          <w:tcPr>
            <w:gridSpan w:val="2"/>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作业要求</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扣分标准</w:t>
            </w:r>
            <w:r/>
          </w:p>
        </w:tc>
      </w:tr>
      <w:tr>
        <w:trPr>
          <w:trHeight w:val="946"/>
        </w:trPr>
        <w:tc>
          <w:tcPr>
            <w:tcBorders>
              <w:top w:val="none" w:color="000000" w:sz="4" w:space="0"/>
              <w:left w:val="single" w:color="auto" w:sz="4" w:space="0"/>
              <w:bottom w:val="single" w:color="000000" w:sz="4" w:space="0"/>
              <w:right w:val="single" w:color="auto" w:sz="4" w:space="0"/>
            </w:tcBorders>
            <w:tcW w:w="0" w:type="auto"/>
            <w:vAlign w:val="center"/>
            <w:vMerge w:val="restart"/>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w:t>
            </w:r>
            <w:r/>
          </w:p>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标准（20分）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规范</w:t>
            </w:r>
            <w:r/>
          </w:p>
          <w:p>
            <w:pPr>
              <w:jc w:val="center"/>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监管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收运车辆、设备正常运行，设置车载在线监测系统，并保持正常运行；配备专人对作业情况进行实时监控。</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未设置车载在线监测系统的，每例扣5分，在线监测数据未正常运行的，每例扣2分，并移交相关执法单位查处；未按要求配备人员的每例扣2分；</w:t>
            </w:r>
            <w:r/>
          </w:p>
        </w:tc>
      </w:tr>
      <w:tr>
        <w:trPr>
          <w:trHeight w:val="1570"/>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设备（含车辆）管理</w:t>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设备、车辆操作人员经培训合格后方可上岗，保证安全运输、文明驾驶；定期维修、保养生活垃圾分类收集、运输设施、设备，建立生活垃圾转运车辆保养及运行台账，实行一车一档，不得人为破坏。</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操作人员未经培训上岗的，每例扣2分，业务不熟悉的，每次扣1分；存在不文明驾驶行为的，每例1-5分；未按时维修、保养生活垃圾分类收集、运输设施、设备的，每例扣2-5分；未设立车辆保养和运行台账的，每例扣1-3分；人为损坏生活垃圾收输设施、设备的，每例扣2-10分。</w:t>
            </w:r>
            <w:r/>
          </w:p>
        </w:tc>
      </w:tr>
      <w:tr>
        <w:trPr>
          <w:trHeight w:val="1180"/>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车容</w:t>
            </w:r>
            <w:r/>
          </w:p>
          <w:p>
            <w:pPr>
              <w:jc w:val="center"/>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车貌</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作业时保持车容整洁，标志清晰、规范、齐全，车体无破损、无锈蚀,车辆渗滤液收集器完好，及时检查、定期更换密封条。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标志不规范的，每例5分，不清晰、不齐全每例扣2分；车体破损、锈蚀每例扣2-5分，车体不洁、车容不整每例扣2-5分。</w:t>
            </w:r>
            <w:r/>
          </w:p>
        </w:tc>
      </w:tr>
      <w:tr>
        <w:trPr>
          <w:trHeight w:val="1049"/>
        </w:trPr>
        <w:tc>
          <w:tcPr>
            <w:tcBorders>
              <w:top w:val="none" w:color="000000" w:sz="4" w:space="0"/>
              <w:left w:val="single" w:color="auto" w:sz="4" w:space="0"/>
              <w:bottom w:val="single" w:color="000000"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人员</w:t>
            </w:r>
            <w:r/>
          </w:p>
          <w:p>
            <w:pPr>
              <w:jc w:val="center"/>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管理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作业时应穿戴统一、有警示标识的工作服，并保持着装整洁。</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未按规定着装的，每例扣2分；工作服装脏污每例扣1分。</w:t>
            </w:r>
            <w:r/>
          </w:p>
        </w:tc>
      </w:tr>
      <w:tr>
        <w:trPr>
          <w:trHeight w:val="1794"/>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作业</w:t>
            </w:r>
            <w:r/>
          </w:p>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标准</w:t>
            </w:r>
            <w:r/>
          </w:p>
          <w:p>
            <w:pPr>
              <w:jc w:val="center"/>
              <w:spacing w:after="0" w:line="52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80分</w:t>
            </w:r>
            <w:r>
              <w:rPr>
                <w:rFonts w:hint="eastAsia" w:ascii="宋体" w:hAnsi="宋体" w:cs="宋体"/>
                <w:color w:val="auto"/>
                <w:sz w:val="21"/>
                <w:szCs w:val="21"/>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作业</w:t>
            </w:r>
            <w:r/>
          </w:p>
          <w:p>
            <w:pPr>
              <w:jc w:val="center"/>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模式</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厨余垃圾应采用“以桶换桶”方式收集，按照车辆核定桶数装载。其他垃圾采用桶车对接方式收集，收集过程中确保垃圾不落地。可回收物、有害垃圾使用专用车辆定期清运或采用预约上门收集方式收运。</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作业模式不符合要求的，每例扣5-10分。</w:t>
            </w:r>
            <w:r/>
          </w:p>
        </w:tc>
      </w:tr>
      <w:tr>
        <w:trPr>
          <w:trHeight w:val="72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keepLines w:val="0"/>
              <w:keepNext w:val="0"/>
              <w:pageBreakBefore w:val="0"/>
              <w:spacing w:after="0"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规范</w:t>
            </w:r>
            <w:r/>
          </w:p>
          <w:p>
            <w:pPr>
              <w:jc w:val="center"/>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按照规定的时间、路线和要求及时、分类收运生活垃圾。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未按规定的时间、路线和要求作业的，每例扣2-5分；未及时收运生活垃圾的，每例扣2-10分。</w:t>
            </w:r>
            <w:r/>
          </w:p>
        </w:tc>
      </w:tr>
      <w:tr>
        <w:trPr>
          <w:trHeight w:val="946"/>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收集车辆运输过程中，车辆容器应保持密闭状态，车体无外挂、夹带垃圾杂物，无冒、扬、撒、拖、挂、滴、漏现象。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车辆容器未密闭的，每例扣2-5分；车辆存在外挂、夹带垃圾杂物，冒、扬、撒、拖、挂、滴、漏等现象的，每例扣2-5分。</w:t>
            </w:r>
            <w:r/>
          </w:p>
        </w:tc>
      </w:tr>
      <w:tr>
        <w:trPr>
          <w:trHeight w:val="104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收集作业结束后，应当将收集容器复位、保洁，并清扫、清洗场地，保持场地环境整洁，应确保无散落垃圾和积留污水。</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作业后未将收集容器复位的，每例扣1-2分；场地不洁，有散落垃圾、积留污水的，每例扣2-5分。</w:t>
            </w:r>
            <w:r/>
          </w:p>
        </w:tc>
      </w:tr>
      <w:tr>
        <w:trPr>
          <w:trHeight w:val="1863"/>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after="0" w:line="48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文明</w:t>
            </w:r>
            <w:r/>
          </w:p>
          <w:p>
            <w:pPr>
              <w:jc w:val="center"/>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作业过程中必须严格遵守交通法规；避免或者减少噪声扰民和交通拥堵；收集作业过程中不得影响道路通行，禁止占用两条及以上车道进行作业；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keepLines w:val="0"/>
              <w:keepNext w:val="0"/>
              <w:pageBreakBefore w:val="0"/>
              <w:spacing w:after="0" w:line="48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未按交通法规行车，每辆次扣10分；有噪声扰民、造成交通拥堵等行为的，每辆次扣2-10分； </w:t>
            </w:r>
            <w:r/>
          </w:p>
        </w:tc>
      </w:tr>
    </w:tbl>
    <w:p>
      <w:pPr>
        <w:spacing w:after="0" w:line="520" w:lineRule="exact"/>
        <w:rPr>
          <w:rFonts w:hint="default" w:ascii="宋体" w:hAnsi="宋体" w:cs="宋体"/>
          <w:color w:val="auto"/>
          <w:sz w:val="24"/>
          <w:highlight w:val="none"/>
        </w:rPr>
        <w:outlineLvl w:val="0"/>
      </w:pPr>
      <w:r>
        <w:rPr>
          <w:rFonts w:hint="eastAsia" w:ascii="宋体" w:hAnsi="宋体" w:cs="宋体"/>
          <w:color w:val="auto"/>
          <w:sz w:val="24"/>
          <w:highlight w:val="none"/>
        </w:rPr>
        <w:br w:type="page" w:clear="all"/>
      </w:r>
      <w:bookmarkStart w:id="30" w:name="_Toc18723"/>
      <w:r>
        <w:rPr>
          <w:rFonts w:hint="eastAsia" w:ascii="宋体" w:hAnsi="宋体" w:cs="宋体"/>
          <w:color w:val="auto"/>
          <w:sz w:val="24"/>
          <w:highlight w:val="none"/>
        </w:rPr>
        <w:t xml:space="preserve">附件4：</w:t>
      </w:r>
      <w:bookmarkEnd w:id="30"/>
      <w:r>
        <w:rPr>
          <w:rFonts w:hint="eastAsia" w:ascii="宋体" w:hAnsi="宋体" w:cs="宋体"/>
          <w:color w:val="auto"/>
          <w:sz w:val="24"/>
          <w:highlight w:val="none"/>
        </w:rPr>
        <w:t xml:space="preserve">厨余垃圾驳运点考核细则</w:t>
      </w:r>
      <w:r/>
    </w:p>
    <w:tbl>
      <w:tblPr>
        <w:tblStyle w:val="867"/>
        <w:tblpPr w:horzAnchor="page" w:tblpX="1905" w:vertAnchor="text" w:tblpY="297"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06"/>
        <w:gridCol w:w="717"/>
        <w:gridCol w:w="3294"/>
        <w:gridCol w:w="9257"/>
      </w:tblGrid>
      <w:tr>
        <w:trPr>
          <w:trHeight w:val="569"/>
          <w:tblHeader/>
        </w:trPr>
        <w:tc>
          <w:tcPr>
            <w:gridSpan w:val="2"/>
            <w:tcBorders>
              <w:top w:val="single" w:color="auto" w:sz="4" w:space="0"/>
              <w:left w:val="single" w:color="auto" w:sz="4" w:space="0"/>
              <w:bottom w:val="single" w:color="auto" w:sz="4" w:space="0"/>
              <w:right w:val="single" w:color="auto" w:sz="4" w:space="0"/>
            </w:tcBorders>
            <w:tcW w:w="1623"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3294"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作业要求</w:t>
            </w:r>
            <w:r/>
          </w:p>
        </w:tc>
        <w:tc>
          <w:tcPr>
            <w:tcBorders>
              <w:top w:val="single" w:color="auto" w:sz="4" w:space="0"/>
              <w:left w:val="none" w:color="000000" w:sz="4" w:space="0"/>
              <w:bottom w:val="single" w:color="auto" w:sz="4" w:space="0"/>
              <w:right w:val="single" w:color="auto" w:sz="4" w:space="0"/>
            </w:tcBorders>
            <w:tcW w:w="9257"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扣分标准</w:t>
            </w:r>
            <w:r/>
          </w:p>
        </w:tc>
      </w:tr>
      <w:tr>
        <w:trPr>
          <w:trHeight w:val="3018"/>
        </w:trPr>
        <w:tc>
          <w:tcPr>
            <w:tcBorders>
              <w:top w:val="none" w:color="000000" w:sz="4" w:space="0"/>
              <w:left w:val="single" w:color="auto" w:sz="4" w:space="0"/>
              <w:right w:val="single" w:color="auto" w:sz="4" w:space="0"/>
            </w:tcBorders>
            <w:tcW w:w="0" w:type="auto"/>
            <w:vAlign w:val="center"/>
            <w:vMerge w:val="restart"/>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管理</w:t>
            </w:r>
            <w:r/>
          </w:p>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标准</w:t>
            </w:r>
            <w:r/>
          </w:p>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（30分）</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制度管理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点内运行台账记录规范、完整、准确，对厨余垃圾的来源、数量、去向等信息进行记录规范、完整、准确；建立安全作业制度、安全培训记录</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无相关台账，每次扣5分；记录不规范、不完整、不准确的，每次扣2-5分；台账记录造假的，每次扣2-10分。</w:t>
            </w:r>
            <w:r/>
          </w:p>
        </w:tc>
      </w:tr>
      <w:tr>
        <w:trPr>
          <w:trHeight w:val="1510"/>
        </w:trPr>
        <w:tc>
          <w:tcPr>
            <w:tcBorders>
              <w:left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人员管理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管理人员统一服装上岗，保持整洁</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未着统一工作服的，每次扣3分，着装不规范的，每次扣1分。</w:t>
            </w:r>
            <w:r/>
          </w:p>
        </w:tc>
      </w:tr>
      <w:tr>
        <w:trPr>
          <w:trHeight w:val="1384"/>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工具管理</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作业工具规范,符合使用要求，摆放整齐，不乱塞乱放；</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作业工作摆放不整齐，乱塞乱放的，每次扣1-2分。</w:t>
            </w:r>
            <w:r/>
          </w:p>
        </w:tc>
      </w:tr>
      <w:tr>
        <w:trPr>
          <w:trHeight w:val="973"/>
        </w:trPr>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after="0" w:line="52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作业</w:t>
            </w:r>
            <w:r/>
          </w:p>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规范</w:t>
            </w:r>
            <w:r/>
          </w:p>
          <w:p>
            <w:pPr>
              <w:jc w:val="center"/>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（70分)</w:t>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设施要求</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应通风良好，配备清洗设备，并应有除臭、除虫和污水排放措施</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未配备清洗设备的，每次扣10分；未采取除臭、除虫和污水排放措施的，每次每项扣2-10分。</w:t>
            </w:r>
            <w:r/>
          </w:p>
        </w:tc>
      </w:tr>
      <w:tr>
        <w:trPr>
          <w:trHeight w:val="1294"/>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17"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作业要求</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进入驳运点的厨余垃圾及时转运，转运过程中垃圾不落地，不得产生扬尘、明显异味，噪声不得超标。</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驳运点厨余垃圾未及时驳运的，每例扣5-10分；转运作业不规范，有洒落垃圾的，每例扣3-10分；产生扬尘、明显异味的，每例3-10分；噪声超标的，每例扣2-10分。</w:t>
            </w:r>
            <w:r/>
          </w:p>
        </w:tc>
      </w:tr>
      <w:tr>
        <w:trPr>
          <w:trHeight w:val="1277"/>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717" w:type="dxa"/>
            <w:vAlign w:val="center"/>
            <w:vMerge w:val="restart"/>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质量要求</w:t>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定时清洗、消杀，无明显异味，无可视蚊蝇、活鼠等；</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存在明显异味的，每次扣2-5分；有可视蚊蝇、活鼠的，每次扣2-5分。</w:t>
            </w:r>
            <w:r/>
          </w:p>
        </w:tc>
      </w:tr>
      <w:tr>
        <w:trPr>
          <w:trHeight w:val="1309"/>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717"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应保持场地整洁，无乱拉乱挂，无垃圾及污水污渍；</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有乱拉乱挂现象的，每次的2-5分；场地不洁，有垃圾、污水污渍的，不足1平方米的，每处扣2分，超过1平方米的，每处扣5分。</w:t>
            </w:r>
            <w:r/>
          </w:p>
        </w:tc>
      </w:tr>
      <w:tr>
        <w:trPr>
          <w:trHeight w:val="1275"/>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717" w:type="dxa"/>
            <w:vAlign w:val="center"/>
            <w:vMerge w:val="continue"/>
            <w:textDirection w:val="lrTb"/>
            <w:noWrap w:val="false"/>
          </w:tcPr>
          <w:p>
            <w:pPr>
              <w:jc w:val="left"/>
              <w:spacing w:after="0" w:line="520" w:lineRule="exact"/>
              <w:widowControl/>
              <w:rPr>
                <w:rFonts w:hint="default" w:ascii="宋体" w:hAnsi="宋体" w:cs="宋体"/>
                <w:color w:val="auto"/>
                <w:sz w:val="21"/>
                <w:szCs w:val="21"/>
                <w:highlight w:val="none"/>
              </w:rPr>
            </w:pPr>
            <w:r>
              <w:rPr>
                <w:rFonts w:hint="default"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294" w:type="dxa"/>
            <w:vAlign w:val="center"/>
            <w:textDirection w:val="lrTb"/>
            <w:noWrap w:val="false"/>
          </w:tcPr>
          <w:p>
            <w:pPr>
              <w:jc w:val="left"/>
              <w:spacing w:after="0" w:line="520" w:lineRule="exact"/>
              <w:widowControl/>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全区每月厨余分出量占比不低于全区生活垃圾总量的4%</w:t>
            </w:r>
            <w:r/>
          </w:p>
        </w:tc>
        <w:tc>
          <w:tcPr>
            <w:tcBorders>
              <w:top w:val="none" w:color="000000" w:sz="4" w:space="0"/>
              <w:left w:val="none" w:color="000000" w:sz="4" w:space="0"/>
              <w:bottom w:val="single" w:color="auto" w:sz="4" w:space="0"/>
              <w:right w:val="single" w:color="auto" w:sz="4" w:space="0"/>
            </w:tcBorders>
            <w:tcW w:w="9257" w:type="dxa"/>
            <w:vAlign w:val="center"/>
            <w:textDirection w:val="lrTb"/>
            <w:noWrap w:val="false"/>
          </w:tcPr>
          <w:p>
            <w:pPr>
              <w:jc w:val="both"/>
              <w:spacing w:after="0" w:line="520" w:lineRule="exact"/>
              <w:widowControl/>
              <w:rPr>
                <w:rFonts w:hint="default" w:ascii="宋体" w:hAnsi="宋体" w:cs="宋体"/>
                <w:color w:val="auto"/>
                <w:sz w:val="21"/>
                <w:szCs w:val="21"/>
                <w:highlight w:val="none"/>
              </w:rPr>
            </w:pPr>
            <w:r>
              <w:rPr>
                <w:rFonts w:hint="default" w:ascii="宋体" w:hAnsi="宋体" w:eastAsia="宋体" w:cs="宋体"/>
                <w:color w:val="auto"/>
                <w:sz w:val="21"/>
                <w:szCs w:val="21"/>
                <w:highlight w:val="none"/>
              </w:rPr>
              <w:t xml:space="preserve">业主</w:t>
            </w:r>
            <w:r>
              <w:rPr>
                <w:rFonts w:hint="eastAsia" w:ascii="宋体" w:hAnsi="宋体" w:eastAsia="宋体" w:cs="宋体"/>
                <w:color w:val="auto"/>
                <w:sz w:val="21"/>
                <w:szCs w:val="21"/>
                <w:highlight w:val="none"/>
              </w:rPr>
              <w:t xml:space="preserve">每月定期</w:t>
            </w:r>
            <w:r>
              <w:rPr>
                <w:rFonts w:hint="default" w:ascii="宋体" w:hAnsi="宋体" w:eastAsia="宋体" w:cs="宋体"/>
                <w:color w:val="auto"/>
                <w:sz w:val="21"/>
                <w:szCs w:val="21"/>
                <w:highlight w:val="none"/>
              </w:rPr>
              <w:t xml:space="preserve">抽查</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rPr>
              <w:t xml:space="preserve">厨余分出量占比</w:t>
            </w:r>
            <w:r>
              <w:rPr>
                <w:rFonts w:hint="eastAsia" w:ascii="宋体" w:hAnsi="宋体" w:eastAsia="宋体" w:cs="宋体"/>
                <w:color w:val="auto"/>
                <w:sz w:val="21"/>
                <w:szCs w:val="21"/>
                <w:highlight w:val="none"/>
              </w:rPr>
              <w:t xml:space="preserve">低于4%的每次扣2分</w:t>
            </w:r>
            <w:r/>
          </w:p>
        </w:tc>
      </w:tr>
    </w:tbl>
    <w:p>
      <w:pPr>
        <w:spacing w:line="520" w:lineRule="exact"/>
        <w:rPr>
          <w:rFonts w:hint="eastAsia" w:ascii="宋体" w:hAnsi="宋体" w:cs="宋体"/>
          <w:color w:val="auto"/>
          <w:sz w:val="24"/>
          <w:highlight w:val="none"/>
        </w:rPr>
        <w:sectPr>
          <w:footnotePr/>
          <w:endnotePr/>
          <w:type w:val="nextPage"/>
          <w:pgSz w:w="16838" w:h="11906" w:orient="landscape"/>
          <w:pgMar w:top="1800" w:right="1440" w:bottom="1800" w:left="1440" w:header="851" w:footer="992" w:gutter="0"/>
          <w:cols w:num="1" w:sep="0" w:space="425" w:equalWidth="1"/>
          <w:docGrid w:linePitch="360"/>
        </w:sectPr>
        <w:outlineLvl w:val="0"/>
      </w:pPr>
      <w:r/>
      <w:bookmarkStart w:id="31" w:name="_Toc24260"/>
      <w:r/>
      <w:r/>
    </w:p>
    <w:p>
      <w:pPr>
        <w:spacing w:after="0" w:line="520" w:lineRule="exact"/>
        <w:rPr>
          <w:rFonts w:hint="default" w:ascii="Times New Roman" w:hAnsi="Times New Roman" w:eastAsia="宋体" w:cs="Times New Roman"/>
          <w:color w:val="auto"/>
          <w:sz w:val="21"/>
          <w:szCs w:val="24"/>
          <w:highlight w:val="none"/>
          <w:lang w:val="en-US" w:eastAsia="zh-CN" w:bidi="ar-SA"/>
        </w:rPr>
        <w:outlineLvl w:val="0"/>
      </w:pPr>
      <w:r>
        <w:rPr>
          <w:rFonts w:hint="eastAsia" w:ascii="宋体" w:hAnsi="宋体" w:cs="宋体"/>
          <w:color w:val="auto"/>
          <w:sz w:val="24"/>
          <w:highlight w:val="none"/>
        </w:rPr>
        <w:t xml:space="preserve">附件5：再生资源回收体系建设考核细则</w:t>
      </w:r>
      <w:r/>
    </w:p>
    <w:tbl>
      <w:tblPr>
        <w:tblStyle w:val="867"/>
        <w:tblpPr w:horzAnchor="margin" w:tblpXSpec="left" w:vertAnchor="text" w:tblpY="576" w:leftFromText="180" w:topFromText="0" w:rightFromText="180" w:bottomFromText="0"/>
        <w:tblW w:w="14613" w:type="dxa"/>
        <w:tblInd w:w="0" w:type="dxa"/>
        <w:tblLayout w:type="fixed"/>
        <w:tblCellMar>
          <w:left w:w="108" w:type="dxa"/>
          <w:top w:w="0" w:type="dxa"/>
          <w:right w:w="108" w:type="dxa"/>
          <w:bottom w:w="0" w:type="dxa"/>
        </w:tblCellMar>
        <w:tblLook w:val="04A0" w:firstRow="1" w:lastRow="0" w:firstColumn="1" w:lastColumn="0" w:noHBand="0" w:noVBand="1"/>
      </w:tblPr>
      <w:tblGrid>
        <w:gridCol w:w="1213"/>
        <w:gridCol w:w="850"/>
        <w:gridCol w:w="3183"/>
        <w:gridCol w:w="9367"/>
      </w:tblGrid>
      <w:tr>
        <w:trPr>
          <w:trHeight w:val="558"/>
        </w:trPr>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auto" w:sz="4" w:space="0"/>
              <w:bottom w:val="single" w:color="auto" w:sz="4" w:space="0"/>
              <w:right w:val="single" w:color="auto" w:sz="4" w:space="0"/>
            </w:tcBorders>
            <w:tcW w:w="850" w:type="dxa"/>
            <w:textDirection w:val="lrTb"/>
            <w:noWrap w:val="false"/>
          </w:tcPr>
          <w:p>
            <w:pPr>
              <w:jc w:val="both"/>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183"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要求</w:t>
            </w:r>
            <w:r/>
          </w:p>
        </w:tc>
        <w:tc>
          <w:tcPr>
            <w:tcBorders>
              <w:top w:val="single" w:color="auto" w:sz="4" w:space="0"/>
              <w:left w:val="none" w:color="000000" w:sz="4" w:space="0"/>
              <w:bottom w:val="single" w:color="auto" w:sz="4" w:space="0"/>
              <w:right w:val="single" w:color="auto" w:sz="4" w:space="0"/>
            </w:tcBorders>
            <w:tcW w:w="9367"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扣分标准</w:t>
            </w:r>
            <w:r/>
          </w:p>
        </w:tc>
      </w:tr>
      <w:tr>
        <w:trPr>
          <w:trHeight w:val="538"/>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pageBreakBefore w:val="0"/>
              <w:spacing w:after="0" w:line="480" w:lineRule="exact"/>
              <w:widowControl/>
              <w:rPr>
                <w:rFonts w:hint="default" w:ascii="宋体" w:hAnsi="宋体" w:eastAsia="宋体" w:cs="宋体"/>
                <w:color w:val="auto"/>
                <w:sz w:val="21"/>
                <w:szCs w:val="21"/>
                <w:highlight w:val="none"/>
              </w:rPr>
            </w:pPr>
            <w:r>
              <w:rPr>
                <w:rFonts w:hint="eastAsia" w:ascii="宋体" w:hAnsi="宋体" w:eastAsia="宋体"/>
                <w:color w:val="auto"/>
                <w:sz w:val="21"/>
                <w:szCs w:val="21"/>
                <w:highlight w:val="none"/>
              </w:rPr>
              <w:t xml:space="preserve">人员配备</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pageBreakBefore w:val="0"/>
              <w:spacing w:after="0" w:line="480" w:lineRule="exact"/>
              <w:widowControl/>
              <w:rPr>
                <w:rFonts w:hint="default"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olor w:val="auto"/>
                <w:sz w:val="21"/>
                <w:szCs w:val="21"/>
                <w:highlight w:val="none"/>
              </w:rPr>
              <w:t xml:space="preserve">配置满足项目运营的服务人员，再生资源回收站回收员、分拣中心、收</w:t>
            </w:r>
            <w:r>
              <w:rPr>
                <w:rFonts w:hint="eastAsia" w:ascii="宋体" w:hAnsi="宋体" w:eastAsia="宋体"/>
                <w:color w:val="auto"/>
                <w:sz w:val="21"/>
                <w:szCs w:val="21"/>
                <w:highlight w:val="none"/>
              </w:rPr>
              <w:t xml:space="preserve">运</w:t>
            </w:r>
            <w:r>
              <w:rPr>
                <w:rFonts w:hint="default" w:ascii="宋体" w:hAnsi="宋体" w:eastAsia="宋体"/>
                <w:color w:val="auto"/>
                <w:sz w:val="21"/>
                <w:szCs w:val="21"/>
                <w:highlight w:val="none"/>
              </w:rPr>
              <w:t xml:space="preserve">员、车辆驾驶等人员配备齐全，素质良好。</w:t>
            </w:r>
            <w:r>
              <w:rPr>
                <w:rFonts w:hint="eastAsia" w:ascii="宋体" w:hAnsi="宋体" w:eastAsia="宋体"/>
                <w:color w:val="auto"/>
                <w:sz w:val="21"/>
                <w:szCs w:val="21"/>
                <w:highlight w:val="none"/>
              </w:rPr>
              <w:t xml:space="preserve">人员统一服装上岗，保持整洁。</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人员数量未</w:t>
            </w:r>
            <w:r>
              <w:rPr>
                <w:rFonts w:hint="eastAsia" w:ascii="宋体" w:hAnsi="宋体" w:eastAsia="宋体" w:cs="宋体"/>
                <w:color w:val="auto"/>
                <w:sz w:val="21"/>
                <w:szCs w:val="21"/>
                <w:highlight w:val="none"/>
              </w:rPr>
              <w:t xml:space="preserve">满足运营</w:t>
            </w:r>
            <w:r>
              <w:rPr>
                <w:rFonts w:hint="default" w:ascii="宋体" w:hAnsi="宋体" w:eastAsia="宋体" w:cs="宋体"/>
                <w:color w:val="auto"/>
                <w:sz w:val="21"/>
                <w:szCs w:val="21"/>
                <w:highlight w:val="none"/>
              </w:rPr>
              <w:t xml:space="preserve">要求，业主抽查1个小时未到达指定现场1 次扣1分。</w:t>
            </w:r>
            <w:r>
              <w:rPr>
                <w:rFonts w:hint="eastAsia" w:ascii="宋体" w:hAnsi="宋体" w:cs="宋体"/>
                <w:color w:val="auto"/>
                <w:sz w:val="21"/>
                <w:szCs w:val="21"/>
                <w:highlight w:val="none"/>
              </w:rPr>
              <w:t xml:space="preserve">未着统一工作服的，每次扣2分，着装不规范的，每次扣1分。</w:t>
            </w:r>
            <w:r/>
          </w:p>
        </w:tc>
      </w:tr>
      <w:tr>
        <w:trPr>
          <w:trHeight w:val="808"/>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pageBreakBefore w:val="0"/>
              <w:spacing w:after="0" w:line="48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设置配备</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pageBreakBefore w:val="0"/>
              <w:spacing w:after="0" w:line="480" w:lineRule="exact"/>
              <w:widowControl/>
              <w:rPr>
                <w:rFonts w:hint="default" w:ascii="宋体" w:hAnsi="宋体" w:eastAsia="宋体"/>
                <w:color w:val="auto"/>
                <w:sz w:val="21"/>
                <w:szCs w:val="21"/>
                <w:highlight w:val="none"/>
              </w:rPr>
            </w:pPr>
            <w:r>
              <w:rPr>
                <w:rFonts w:hint="eastAsia" w:ascii="宋体" w:hAnsi="宋体" w:eastAsia="宋体"/>
                <w:color w:val="auto"/>
                <w:sz w:val="21"/>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eastAsia" w:ascii="宋体" w:hAnsi="宋体" w:eastAsia="宋体"/>
                <w:color w:val="auto"/>
                <w:sz w:val="21"/>
                <w:szCs w:val="21"/>
                <w:highlight w:val="none"/>
              </w:rPr>
              <w:t xml:space="preserve">中转站配备称重、暂存、积分兑换、垃圾分类宣传、便民服务功能。分拣中心配备相应的打包分拣设备。</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w:t>
            </w:r>
            <w:r>
              <w:rPr>
                <w:rFonts w:hint="default" w:ascii="宋体" w:hAnsi="宋体" w:eastAsia="宋体" w:cs="宋体"/>
                <w:color w:val="auto"/>
                <w:sz w:val="21"/>
                <w:szCs w:val="21"/>
                <w:highlight w:val="none"/>
              </w:rPr>
              <w:t xml:space="preserve">配置未</w:t>
            </w:r>
            <w:r>
              <w:rPr>
                <w:rFonts w:hint="eastAsia" w:ascii="宋体" w:hAnsi="宋体" w:eastAsia="宋体" w:cs="宋体"/>
                <w:color w:val="auto"/>
                <w:sz w:val="21"/>
                <w:szCs w:val="21"/>
                <w:highlight w:val="none"/>
              </w:rPr>
              <w:t xml:space="preserve">满足正常运营</w:t>
            </w:r>
            <w:r>
              <w:rPr>
                <w:rFonts w:hint="default" w:ascii="宋体" w:hAnsi="宋体" w:eastAsia="宋体" w:cs="宋体"/>
                <w:color w:val="auto"/>
                <w:sz w:val="21"/>
                <w:szCs w:val="21"/>
                <w:highlight w:val="none"/>
              </w:rPr>
              <w:t xml:space="preserve">要求的，每少1个扣0.5分。“</w:t>
            </w:r>
            <w:r>
              <w:rPr>
                <w:rFonts w:hint="eastAsia" w:ascii="宋体" w:hAnsi="宋体" w:eastAsia="宋体" w:cs="宋体"/>
                <w:color w:val="auto"/>
                <w:sz w:val="21"/>
                <w:szCs w:val="21"/>
                <w:highlight w:val="none"/>
              </w:rPr>
              <w:t xml:space="preserve">中转站</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、分拣中心</w:t>
            </w:r>
            <w:r>
              <w:rPr>
                <w:rFonts w:hint="default" w:ascii="宋体" w:hAnsi="宋体" w:eastAsia="宋体" w:cs="宋体"/>
                <w:color w:val="auto"/>
                <w:sz w:val="21"/>
                <w:szCs w:val="21"/>
                <w:highlight w:val="none"/>
              </w:rPr>
              <w:t xml:space="preserve">未能正常运转，每个扣2 分。外观标识、内部配套设施等不统一不规范，每发现一次扣2 分。</w:t>
            </w:r>
            <w:r/>
          </w:p>
        </w:tc>
      </w:tr>
      <w:tr>
        <w:trPr>
          <w:trHeight w:val="538"/>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站点管理</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pageBreakBefore w:val="0"/>
              <w:spacing w:after="0" w:line="48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3183" w:type="dxa"/>
            <w:vAlign w:val="bottom"/>
            <w:textDirection w:val="lrTb"/>
            <w:noWrap/>
          </w:tcPr>
          <w:p>
            <w:pPr>
              <w:jc w:val="left"/>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站点管理。</w:t>
            </w:r>
            <w:r>
              <w:rPr>
                <w:rFonts w:hint="eastAsia" w:ascii="宋体" w:hAnsi="宋体" w:eastAsia="宋体" w:cs="宋体"/>
                <w:color w:val="auto"/>
                <w:sz w:val="21"/>
                <w:szCs w:val="21"/>
                <w:highlight w:val="none"/>
              </w:rPr>
              <w:t xml:space="preserve">中转站</w:t>
            </w:r>
            <w:r>
              <w:rPr>
                <w:rFonts w:hint="eastAsia" w:ascii="宋体" w:hAnsi="宋体" w:eastAsia="宋体"/>
                <w:color w:val="auto"/>
                <w:sz w:val="21"/>
                <w:szCs w:val="21"/>
                <w:highlight w:val="none"/>
              </w:rPr>
              <w:t xml:space="preserve">统一形象、规范管理。</w:t>
            </w:r>
            <w:r>
              <w:rPr>
                <w:rFonts w:hint="default" w:ascii="宋体" w:hAnsi="宋体" w:eastAsia="宋体" w:cs="宋体"/>
                <w:color w:val="auto"/>
                <w:sz w:val="21"/>
                <w:szCs w:val="21"/>
                <w:highlight w:val="none"/>
              </w:rPr>
              <w:t xml:space="preserve">服务站门外无垃 圾堆积现象，服务站内回收垃 圾分类摆放整齐。</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中转站形象不统一、管理不规范，</w:t>
            </w:r>
            <w:r>
              <w:rPr>
                <w:rFonts w:hint="default" w:ascii="宋体" w:hAnsi="宋体" w:eastAsia="宋体" w:cs="宋体"/>
                <w:color w:val="auto"/>
                <w:sz w:val="21"/>
                <w:szCs w:val="21"/>
                <w:highlight w:val="none"/>
              </w:rPr>
              <w:t xml:space="preserve">每发现1次扣</w:t>
            </w:r>
            <w:r>
              <w:rPr>
                <w:rFonts w:hint="eastAsia" w:ascii="宋体" w:hAnsi="宋体" w:eastAsia="宋体" w:cs="宋体"/>
                <w:color w:val="auto"/>
                <w:sz w:val="21"/>
                <w:szCs w:val="21"/>
                <w:highlight w:val="none"/>
              </w:rPr>
              <w:t xml:space="preserve">2</w:t>
            </w:r>
            <w:r>
              <w:rPr>
                <w:rFonts w:hint="default"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不</w:t>
            </w:r>
            <w:r>
              <w:rPr>
                <w:rFonts w:hint="default" w:ascii="宋体" w:hAnsi="宋体" w:eastAsia="宋体" w:cs="宋体"/>
                <w:color w:val="auto"/>
                <w:sz w:val="21"/>
                <w:szCs w:val="21"/>
                <w:highlight w:val="none"/>
              </w:rPr>
              <w:t xml:space="preserve">清运不及时导致堆积，每发现1次扣</w:t>
            </w:r>
            <w:r>
              <w:rPr>
                <w:rFonts w:hint="eastAsia" w:ascii="宋体" w:hAnsi="宋体" w:eastAsia="宋体" w:cs="宋体"/>
                <w:color w:val="auto"/>
                <w:sz w:val="21"/>
                <w:szCs w:val="21"/>
                <w:highlight w:val="none"/>
              </w:rPr>
              <w:t xml:space="preserve">2</w:t>
            </w:r>
            <w:r>
              <w:rPr>
                <w:rFonts w:hint="default" w:ascii="宋体" w:hAnsi="宋体" w:eastAsia="宋体" w:cs="宋体"/>
                <w:color w:val="auto"/>
                <w:sz w:val="21"/>
                <w:szCs w:val="21"/>
                <w:highlight w:val="none"/>
              </w:rPr>
              <w:t xml:space="preserve">分。</w:t>
            </w:r>
            <w:r/>
          </w:p>
        </w:tc>
      </w:tr>
      <w:tr>
        <w:trPr>
          <w:trHeight w:val="1402"/>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车辆管理</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pageBreakBefore w:val="0"/>
              <w:spacing w:after="0" w:line="48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车辆外观干净整齐，分类标志标识和监督电话 在车身明显位置，规范停车及作业</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车配置数量未达到要求的，每少1个扣</w:t>
            </w:r>
            <w:r>
              <w:rPr>
                <w:rFonts w:hint="eastAsia" w:ascii="宋体" w:hAnsi="宋体" w:eastAsia="宋体" w:cs="宋体"/>
                <w:color w:val="auto"/>
                <w:sz w:val="21"/>
                <w:szCs w:val="21"/>
                <w:highlight w:val="none"/>
              </w:rPr>
              <w:t xml:space="preserve">2</w:t>
            </w:r>
            <w:r>
              <w:rPr>
                <w:rFonts w:hint="default"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车辆外观不整洁、</w:t>
            </w:r>
            <w:r>
              <w:rPr>
                <w:rFonts w:hint="default" w:ascii="宋体" w:hAnsi="宋体" w:eastAsia="宋体" w:cs="宋体"/>
                <w:color w:val="auto"/>
                <w:sz w:val="21"/>
                <w:szCs w:val="21"/>
                <w:highlight w:val="none"/>
              </w:rPr>
              <w:t xml:space="preserve">不统一不规范</w:t>
            </w:r>
            <w:r>
              <w:rPr>
                <w:rFonts w:hint="eastAsia" w:ascii="宋体" w:hAnsi="宋体" w:eastAsia="宋体" w:cs="宋体"/>
                <w:color w:val="auto"/>
                <w:sz w:val="21"/>
                <w:szCs w:val="21"/>
                <w:highlight w:val="none"/>
              </w:rPr>
              <w:t xml:space="preserve">的，每发现一次扣1分。</w:t>
            </w:r>
            <w:r/>
          </w:p>
        </w:tc>
      </w:tr>
      <w:tr>
        <w:trPr>
          <w:trHeight w:val="1104"/>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pageBreakBefore w:val="0"/>
              <w:spacing w:after="0" w:line="480" w:lineRule="exact"/>
              <w:widowControl/>
              <w:rPr>
                <w:rFonts w:hint="default" w:ascii="宋体" w:hAnsi="宋体" w:eastAsia="宋体" w:cs="宋体"/>
                <w:color w:val="auto"/>
                <w:sz w:val="21"/>
                <w:szCs w:val="21"/>
                <w:highlight w:val="none"/>
              </w:rPr>
            </w:pPr>
            <w:r>
              <w:rPr>
                <w:rFonts w:hint="eastAsia" w:ascii="宋体" w:hAnsi="宋体" w:eastAsia="宋体"/>
                <w:color w:val="auto"/>
                <w:sz w:val="21"/>
                <w:szCs w:val="21"/>
                <w:highlight w:val="none"/>
              </w:rPr>
              <w:t xml:space="preserve">信息化</w:t>
            </w:r>
            <w:r>
              <w:rPr>
                <w:rFonts w:hint="default" w:ascii="宋体" w:hAnsi="宋体" w:eastAsia="宋体"/>
                <w:color w:val="auto"/>
                <w:sz w:val="21"/>
                <w:szCs w:val="21"/>
                <w:highlight w:val="none"/>
              </w:rPr>
              <w:t xml:space="preserve">平台功能完备性</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pageBreakBefore w:val="0"/>
              <w:spacing w:after="0" w:line="480" w:lineRule="exact"/>
              <w:widowControl/>
              <w:rPr>
                <w:rFonts w:hint="default" w:ascii="宋体" w:hAnsi="宋体" w:eastAsia="宋体"/>
                <w:color w:val="auto"/>
                <w:sz w:val="21"/>
                <w:szCs w:val="21"/>
                <w:highlight w:val="none"/>
              </w:rPr>
            </w:pPr>
            <w:r>
              <w:rPr>
                <w:rFonts w:hint="eastAsia" w:ascii="宋体" w:hAnsi="宋体" w:eastAsia="宋体"/>
                <w:color w:val="auto"/>
                <w:sz w:val="21"/>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olor w:val="auto"/>
                <w:sz w:val="21"/>
                <w:szCs w:val="21"/>
                <w:highlight w:val="none"/>
              </w:rPr>
              <w:t xml:space="preserve">具备 “预约回收、积分管理、数据监测” 功能实现 “投放 - 清运 - 分拣” 数据实时同步</w:t>
            </w:r>
            <w:r>
              <w:rPr>
                <w:rFonts w:hint="eastAsia" w:ascii="宋体" w:hAnsi="宋体" w:eastAsia="宋体"/>
                <w:color w:val="auto"/>
                <w:sz w:val="21"/>
                <w:szCs w:val="21"/>
                <w:highlight w:val="none"/>
              </w:rPr>
              <w:t xml:space="preserve">。车辆安装GPS、AI识别，实时记录清运路线、垃圾装卸过程。</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olor w:val="auto"/>
                <w:sz w:val="21"/>
                <w:szCs w:val="21"/>
                <w:highlight w:val="none"/>
              </w:rPr>
              <w:t xml:space="preserve">功能缺失 1 项扣 3 分</w:t>
            </w:r>
            <w:r>
              <w:rPr>
                <w:rFonts w:hint="eastAsia" w:ascii="宋体" w:hAnsi="宋体" w:eastAsia="宋体"/>
                <w:color w:val="auto"/>
                <w:sz w:val="21"/>
                <w:szCs w:val="21"/>
                <w:highlight w:val="none"/>
              </w:rPr>
              <w:t xml:space="preserve">；</w:t>
            </w:r>
            <w:r>
              <w:rPr>
                <w:rFonts w:hint="default" w:ascii="宋体" w:hAnsi="宋体" w:eastAsia="宋体"/>
                <w:color w:val="auto"/>
                <w:sz w:val="21"/>
                <w:szCs w:val="21"/>
                <w:highlight w:val="none"/>
              </w:rPr>
              <w:t xml:space="preserve">数据断链 1 处扣 2 分，完整率每低 5% 扣 1 分</w:t>
            </w:r>
            <w:r/>
          </w:p>
        </w:tc>
      </w:tr>
      <w:tr>
        <w:trPr>
          <w:trHeight w:val="1104"/>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pageBreakBefore w:val="0"/>
              <w:spacing w:after="0" w:line="480" w:lineRule="exact"/>
              <w:widowControl/>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安全管理</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pageBreakBefore w:val="0"/>
              <w:spacing w:after="0" w:line="480" w:lineRule="exact"/>
              <w:widowControl/>
              <w:rPr>
                <w:rFonts w:hint="default" w:ascii="宋体" w:hAnsi="宋体" w:eastAsia="宋体"/>
                <w:color w:val="auto"/>
                <w:sz w:val="21"/>
                <w:szCs w:val="21"/>
                <w:highlight w:val="none"/>
              </w:rPr>
            </w:pPr>
            <w:r>
              <w:rPr>
                <w:rFonts w:hint="eastAsia" w:ascii="宋体" w:hAnsi="宋体" w:eastAsia="宋体"/>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pageBreakBefore w:val="0"/>
              <w:spacing w:after="0" w:line="480" w:lineRule="exact"/>
              <w:widowControl/>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落实安全生产管 理各项制度。</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pageBreakBefore w:val="0"/>
              <w:spacing w:after="0" w:line="480" w:lineRule="exact"/>
              <w:widowControl/>
              <w:rPr>
                <w:rFonts w:hint="default" w:ascii="宋体" w:hAnsi="宋体" w:eastAsia="宋体"/>
                <w:color w:val="auto"/>
                <w:sz w:val="21"/>
                <w:szCs w:val="21"/>
                <w:highlight w:val="none"/>
              </w:rPr>
            </w:pPr>
            <w:r>
              <w:rPr>
                <w:rFonts w:hint="default" w:ascii="宋体" w:hAnsi="宋体" w:eastAsia="宋体"/>
                <w:color w:val="auto"/>
                <w:sz w:val="21"/>
                <w:szCs w:val="21"/>
                <w:highlight w:val="none"/>
              </w:rPr>
              <w:t xml:space="preserve">未定期开展消防安全培训、考核回收人员安全技能掌握情况的， 每发现一次扣1分；发现消防安全隐患的，每发现一次扣2分； 未按照要求定期检查灭火器压强情况并做好记录的（至少半月一次），每发现一次扣1分；未 落实安全生产责任，发生一般安 全生产责任事故，每发生一起扣 1分。</w:t>
            </w:r>
            <w:r/>
          </w:p>
        </w:tc>
      </w:tr>
      <w:tr>
        <w:trPr>
          <w:trHeight w:val="929"/>
        </w:trPr>
        <w:tc>
          <w:tcPr>
            <w:tcBorders>
              <w:top w:val="none" w:color="000000" w:sz="4" w:space="0"/>
              <w:left w:val="single" w:color="auto" w:sz="4" w:space="0"/>
              <w:bottom w:val="single" w:color="auto" w:sz="4" w:space="0"/>
              <w:right w:val="single" w:color="auto" w:sz="4" w:space="0"/>
            </w:tcBorders>
            <w:tcW w:w="1213" w:type="dxa"/>
            <w:vAlign w:val="center"/>
            <w:textDirection w:val="lrTb"/>
            <w:noWrap w:val="false"/>
          </w:tcPr>
          <w:p>
            <w:pPr>
              <w:jc w:val="center"/>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服务质量</w:t>
            </w:r>
            <w:r/>
          </w:p>
        </w:tc>
        <w:tc>
          <w:tcPr>
            <w:tcBorders>
              <w:top w:val="single" w:color="auto" w:sz="4" w:space="0"/>
              <w:bottom w:val="single" w:color="auto" w:sz="4" w:space="0"/>
              <w:right w:val="single" w:color="auto" w:sz="4" w:space="0"/>
            </w:tcBorders>
            <w:tcW w:w="850" w:type="dxa"/>
            <w:vAlign w:val="center"/>
            <w:textDirection w:val="lrTb"/>
            <w:noWrap w:val="false"/>
          </w:tcPr>
          <w:p>
            <w:pPr>
              <w:jc w:val="center"/>
              <w:pageBreakBefore w:val="0"/>
              <w:spacing w:after="0" w:line="480" w:lineRule="exact"/>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183"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人员须规范 着装，APP、小程序、电话等多渠道服务，在用户呼叫后及时 上门收集，及时兑换积分。</w:t>
            </w:r>
            <w:r/>
          </w:p>
        </w:tc>
        <w:tc>
          <w:tcPr>
            <w:tcBorders>
              <w:top w:val="none" w:color="000000" w:sz="4" w:space="0"/>
              <w:left w:val="none" w:color="000000" w:sz="4" w:space="0"/>
              <w:bottom w:val="single" w:color="auto" w:sz="4" w:space="0"/>
              <w:right w:val="single" w:color="auto" w:sz="4" w:space="0"/>
            </w:tcBorders>
            <w:tcW w:w="9367" w:type="dxa"/>
            <w:vAlign w:val="center"/>
            <w:textDirection w:val="lrTb"/>
            <w:noWrap w:val="false"/>
          </w:tcPr>
          <w:p>
            <w:pPr>
              <w:jc w:val="left"/>
              <w:pageBreakBefore w:val="0"/>
              <w:spacing w:after="0" w:line="480" w:lineRule="exact"/>
              <w:widowControl/>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工作期间服务人员未按要求穿 着工作服，每发现1例扣1分， 服务人员无故拒绝上门，核实1 例扣2分。兑换不及时核实1 例扣2分。</w:t>
            </w:r>
            <w:r/>
          </w:p>
        </w:tc>
      </w:tr>
    </w:tbl>
    <w:p>
      <w:pPr>
        <w:pageBreakBefore w:val="0"/>
        <w:spacing w:line="480" w:lineRule="exact"/>
        <w:rPr>
          <w:rFonts w:hint="eastAsia" w:ascii="宋体" w:hAnsi="宋体" w:cs="宋体"/>
          <w:color w:val="auto"/>
          <w:sz w:val="21"/>
          <w:szCs w:val="21"/>
          <w:highlight w:val="none"/>
        </w:rPr>
        <w:sectPr>
          <w:footnotePr/>
          <w:endnotePr/>
          <w:type w:val="nextPage"/>
          <w:pgSz w:w="16838" w:h="11906" w:orient="landscape"/>
          <w:pgMar w:top="1800" w:right="1440" w:bottom="1800" w:left="1440" w:header="851" w:footer="992" w:gutter="0"/>
          <w:cols w:num="1" w:sep="0" w:space="425" w:equalWidth="1"/>
          <w:docGrid w:linePitch="360"/>
        </w:sectPr>
        <w:outlineLvl w:val="0"/>
      </w:pPr>
      <w:r>
        <w:rPr>
          <w:rFonts w:hint="eastAsia" w:ascii="宋体" w:hAnsi="宋体" w:cs="宋体"/>
          <w:color w:val="auto"/>
          <w:sz w:val="21"/>
          <w:szCs w:val="21"/>
          <w:highlight w:val="none"/>
        </w:rPr>
      </w:r>
      <w:r/>
    </w:p>
    <w:p>
      <w:pPr>
        <w:spacing w:after="0" w:line="520" w:lineRule="exact"/>
        <w:rPr>
          <w:rFonts w:hint="default" w:ascii="宋体" w:hAnsi="宋体" w:cs="宋体"/>
          <w:color w:val="auto"/>
          <w:sz w:val="24"/>
          <w:highlight w:val="none"/>
        </w:rPr>
        <w:outlineLvl w:val="0"/>
      </w:pPr>
      <w:r>
        <w:rPr>
          <w:rFonts w:hint="eastAsia" w:ascii="宋体" w:hAnsi="宋体" w:cs="宋体"/>
          <w:color w:val="auto"/>
          <w:sz w:val="24"/>
          <w:highlight w:val="none"/>
        </w:rPr>
        <w:t xml:space="preserve">附件6：</w:t>
      </w:r>
      <w:bookmarkEnd w:id="31"/>
      <w:r/>
      <w:r/>
    </w:p>
    <w:p>
      <w:pPr>
        <w:jc w:val="center"/>
        <w:spacing w:after="0" w:line="520" w:lineRule="exact"/>
        <w:rPr>
          <w:rFonts w:hint="default" w:ascii="宋体" w:hAnsi="宋体" w:cs="宋体"/>
          <w:color w:val="auto"/>
          <w:sz w:val="24"/>
          <w:highlight w:val="none"/>
        </w:rPr>
      </w:pPr>
      <w:r>
        <w:rPr>
          <w:rFonts w:hint="eastAsia" w:ascii="宋体" w:hAnsi="宋体" w:cs="宋体"/>
          <w:color w:val="auto"/>
          <w:sz w:val="24"/>
          <w:highlight w:val="none"/>
        </w:rPr>
        <w:t xml:space="preserve">重点项目考核细则</w:t>
      </w:r>
      <w:r/>
    </w:p>
    <w:tbl>
      <w:tblPr>
        <w:tblStyle w:val="867"/>
        <w:tblW w:w="8508" w:type="dxa"/>
        <w:tblInd w:w="108" w:type="dxa"/>
        <w:tblLayout w:type="fixed"/>
        <w:tblCellMar>
          <w:left w:w="108" w:type="dxa"/>
          <w:top w:w="0" w:type="dxa"/>
          <w:right w:w="108" w:type="dxa"/>
          <w:bottom w:w="0" w:type="dxa"/>
        </w:tblCellMar>
        <w:tblLook w:val="04A0" w:firstRow="1" w:lastRow="0" w:firstColumn="1" w:lastColumn="0" w:noHBand="0" w:noVBand="1"/>
      </w:tblPr>
      <w:tblGrid>
        <w:gridCol w:w="768"/>
        <w:gridCol w:w="2144"/>
        <w:gridCol w:w="5596"/>
      </w:tblGrid>
      <w:tr>
        <w:trPr>
          <w:trHeight w:val="595"/>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spacing w:after="0" w:line="520" w:lineRule="exact"/>
              <w:widowControl/>
              <w:rPr>
                <w:rFonts w:hint="default" w:ascii="宋体" w:hAnsi="宋体" w:cs="宋体"/>
                <w:color w:val="auto"/>
                <w:sz w:val="24"/>
                <w:highlight w:val="none"/>
              </w:rPr>
            </w:pPr>
            <w:r/>
            <w:bookmarkStart w:id="32" w:name="OLE_LINK8"/>
            <w:r>
              <w:rPr>
                <w:rFonts w:hint="eastAsia" w:ascii="宋体" w:hAnsi="宋体" w:cs="宋体"/>
                <w:color w:val="auto"/>
                <w:sz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2144"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作业要求</w:t>
            </w:r>
            <w:r/>
          </w:p>
        </w:tc>
        <w:tc>
          <w:tcPr>
            <w:tcBorders>
              <w:top w:val="single" w:color="auto" w:sz="4" w:space="0"/>
              <w:left w:val="none" w:color="000000" w:sz="4" w:space="0"/>
              <w:bottom w:val="single" w:color="auto" w:sz="4" w:space="0"/>
              <w:right w:val="single" w:color="auto" w:sz="4" w:space="0"/>
            </w:tcBorders>
            <w:tcW w:w="5596"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扣分标准</w:t>
            </w:r>
            <w:r/>
          </w:p>
        </w:tc>
      </w:tr>
      <w:tr>
        <w:trPr>
          <w:trHeight w:val="480"/>
        </w:trPr>
        <w:tc>
          <w:tcPr>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分类收运</w:t>
            </w:r>
            <w:r/>
          </w:p>
        </w:tc>
        <w:tc>
          <w:tcPr>
            <w:tcBorders>
              <w:top w:val="none" w:color="000000" w:sz="4" w:space="0"/>
              <w:left w:val="none" w:color="000000" w:sz="4" w:space="0"/>
              <w:bottom w:val="single" w:color="auto" w:sz="4" w:space="0"/>
              <w:right w:val="single" w:color="auto" w:sz="4" w:space="0"/>
            </w:tcBorders>
            <w:tcW w:w="2144" w:type="dxa"/>
            <w:vAlign w:val="center"/>
            <w:textDirection w:val="lrTb"/>
            <w:noWrap w:val="false"/>
          </w:tcPr>
          <w:p>
            <w:pP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严禁将已分类的生活垃圾混合收运。</w:t>
            </w:r>
            <w:r/>
          </w:p>
        </w:tc>
        <w:tc>
          <w:tcPr>
            <w:tcBorders>
              <w:top w:val="none" w:color="000000" w:sz="4" w:space="0"/>
              <w:left w:val="none" w:color="000000" w:sz="4" w:space="0"/>
              <w:bottom w:val="single" w:color="auto" w:sz="4" w:space="0"/>
              <w:right w:val="single" w:color="auto" w:sz="4" w:space="0"/>
            </w:tcBorders>
            <w:tcW w:w="5596" w:type="dxa"/>
            <w:vAlign w:val="center"/>
            <w:textDirection w:val="lrTb"/>
            <w:noWrap w:val="false"/>
          </w:tcPr>
          <w:p>
            <w:pPr>
              <w:jc w:val="left"/>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将已分类的生活垃圾混收混运的，每次扣5分。</w:t>
            </w:r>
            <w:r/>
          </w:p>
        </w:tc>
      </w:tr>
      <w:tr>
        <w:trPr>
          <w:trHeight w:val="720"/>
        </w:trPr>
        <w:tc>
          <w:tcPr>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人员管理</w:t>
            </w:r>
            <w:r/>
          </w:p>
        </w:tc>
        <w:tc>
          <w:tcPr>
            <w:tcBorders>
              <w:top w:val="none" w:color="000000" w:sz="4" w:space="0"/>
              <w:left w:val="none" w:color="000000" w:sz="4" w:space="0"/>
              <w:bottom w:val="single" w:color="auto" w:sz="4" w:space="0"/>
              <w:right w:val="single" w:color="auto" w:sz="4" w:space="0"/>
            </w:tcBorders>
            <w:tcW w:w="2144" w:type="dxa"/>
            <w:vAlign w:val="bottom"/>
            <w:textDirection w:val="lrTb"/>
            <w:noWrap w:val="false"/>
          </w:tcPr>
          <w:p>
            <w:pPr>
              <w:jc w:val="left"/>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收集点开放时段配备专人引导，驳运点设置专人管理</w:t>
            </w:r>
            <w:r/>
          </w:p>
        </w:tc>
        <w:tc>
          <w:tcPr>
            <w:tcBorders>
              <w:top w:val="none" w:color="000000" w:sz="4" w:space="0"/>
              <w:left w:val="none" w:color="000000" w:sz="4" w:space="0"/>
              <w:bottom w:val="single" w:color="auto" w:sz="4" w:space="0"/>
              <w:right w:val="single" w:color="auto" w:sz="4" w:space="0"/>
            </w:tcBorders>
            <w:tcW w:w="5596" w:type="dxa"/>
            <w:vAlign w:val="center"/>
            <w:textDirection w:val="lrTb"/>
            <w:noWrap w:val="false"/>
          </w:tcPr>
          <w:p>
            <w:pPr>
              <w:jc w:val="left"/>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收集点开放时段未合理配备督导员的，或驳运点无人管理的，每次扣5分。</w:t>
            </w:r>
            <w:r/>
          </w:p>
        </w:tc>
      </w:tr>
      <w:tr>
        <w:trPr>
          <w:trHeight w:val="480"/>
        </w:trPr>
        <w:tc>
          <w:tcPr>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有责投诉</w:t>
            </w:r>
            <w:r/>
          </w:p>
        </w:tc>
        <w:tc>
          <w:tcPr>
            <w:tcBorders>
              <w:top w:val="none" w:color="000000" w:sz="4" w:space="0"/>
              <w:left w:val="none" w:color="000000" w:sz="4" w:space="0"/>
              <w:bottom w:val="single" w:color="auto" w:sz="4" w:space="0"/>
              <w:right w:val="single" w:color="auto" w:sz="4" w:space="0"/>
            </w:tcBorders>
            <w:tcW w:w="2144" w:type="dxa"/>
            <w:vAlign w:val="center"/>
            <w:textDirection w:val="lrTb"/>
            <w:noWrap/>
          </w:tcPr>
          <w:p>
            <w:pPr>
              <w:jc w:val="left"/>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应主动接受上级部门及社会各界监督，有责投诉问题应在规定的期限内整改；市级以上检查不失责任分。</w:t>
            </w:r>
            <w:r/>
          </w:p>
        </w:tc>
        <w:tc>
          <w:tcPr>
            <w:tcBorders>
              <w:top w:val="none" w:color="000000" w:sz="4" w:space="0"/>
              <w:left w:val="none" w:color="000000" w:sz="4" w:space="0"/>
              <w:bottom w:val="single" w:color="auto" w:sz="4" w:space="0"/>
              <w:right w:val="single" w:color="auto" w:sz="4" w:space="0"/>
            </w:tcBorders>
            <w:tcW w:w="5596" w:type="dxa"/>
            <w:vAlign w:val="center"/>
            <w:textDirection w:val="lrTb"/>
            <w:noWrap w:val="false"/>
          </w:tcPr>
          <w:p>
            <w:pPr>
              <w:jc w:val="left"/>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trHeight w:val="1249"/>
        </w:trPr>
        <w:tc>
          <w:tcPr>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整改落实</w:t>
            </w:r>
            <w:r/>
          </w:p>
        </w:tc>
        <w:tc>
          <w:tcPr>
            <w:tcBorders>
              <w:top w:val="none" w:color="000000" w:sz="4" w:space="0"/>
              <w:left w:val="none" w:color="000000" w:sz="4" w:space="0"/>
              <w:bottom w:val="single" w:color="auto" w:sz="4" w:space="0"/>
              <w:right w:val="single" w:color="auto" w:sz="4" w:space="0"/>
            </w:tcBorders>
            <w:tcW w:w="2144" w:type="dxa"/>
            <w:vAlign w:val="center"/>
            <w:textDirection w:val="lrTb"/>
            <w:noWrap w:val="false"/>
          </w:tcPr>
          <w:p>
            <w:pPr>
              <w:jc w:val="left"/>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作业单位应及时对反馈的重点问题进行有效整改；按时、按要求处理数字化信息采集案件。</w:t>
            </w:r>
            <w:r/>
          </w:p>
        </w:tc>
        <w:tc>
          <w:tcPr>
            <w:tcBorders>
              <w:top w:val="none" w:color="000000" w:sz="4" w:space="0"/>
              <w:left w:val="none" w:color="000000" w:sz="4" w:space="0"/>
              <w:bottom w:val="single" w:color="auto" w:sz="4" w:space="0"/>
              <w:right w:val="single" w:color="auto" w:sz="4" w:space="0"/>
            </w:tcBorders>
            <w:tcW w:w="5596" w:type="dxa"/>
            <w:vAlign w:val="center"/>
            <w:textDirection w:val="lrTb"/>
            <w:noWrap w:val="false"/>
          </w:tcPr>
          <w:p>
            <w:pPr>
              <w:jc w:val="left"/>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针对各考核主体反馈重点问题，未能在合同规定时限内完成有效整改，每次扣1分；未及时处理案件造成案件超时的每个扣1分；处理不符合要求造成返工的每次扣1分。</w:t>
            </w:r>
            <w:r/>
          </w:p>
        </w:tc>
      </w:tr>
      <w:tr>
        <w:trPr>
          <w:trHeight w:val="983"/>
        </w:trPr>
        <w:tc>
          <w:tcPr>
            <w:tcBorders>
              <w:top w:val="none" w:color="000000" w:sz="4" w:space="0"/>
              <w:left w:val="single" w:color="auto" w:sz="4" w:space="0"/>
              <w:bottom w:val="single" w:color="auto" w:sz="4" w:space="0"/>
              <w:right w:val="single" w:color="auto" w:sz="4" w:space="0"/>
            </w:tcBorders>
            <w:tcW w:w="768" w:type="dxa"/>
            <w:vAlign w:val="center"/>
            <w:textDirection w:val="lrTb"/>
            <w:noWrap w:val="false"/>
          </w:tcPr>
          <w:p>
            <w:pPr>
              <w:jc w:val="center"/>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配合监督检查</w:t>
            </w:r>
            <w:r/>
          </w:p>
        </w:tc>
        <w:tc>
          <w:tcPr>
            <w:tcBorders>
              <w:top w:val="none" w:color="000000" w:sz="4" w:space="0"/>
              <w:left w:val="none" w:color="000000" w:sz="4" w:space="0"/>
              <w:bottom w:val="single" w:color="auto" w:sz="4" w:space="0"/>
              <w:right w:val="single" w:color="auto" w:sz="4" w:space="0"/>
            </w:tcBorders>
            <w:tcW w:w="2144" w:type="dxa"/>
            <w:vAlign w:val="center"/>
            <w:textDirection w:val="lrTb"/>
            <w:noWrap w:val="false"/>
          </w:tcPr>
          <w:p>
            <w:pPr>
              <w:jc w:val="left"/>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自觉接受相关考核主体的监督考核</w:t>
            </w:r>
            <w:r/>
          </w:p>
        </w:tc>
        <w:tc>
          <w:tcPr>
            <w:tcBorders>
              <w:top w:val="none" w:color="000000" w:sz="4" w:space="0"/>
              <w:left w:val="none" w:color="000000" w:sz="4" w:space="0"/>
              <w:bottom w:val="single" w:color="auto" w:sz="4" w:space="0"/>
              <w:right w:val="single" w:color="auto" w:sz="4" w:space="0"/>
            </w:tcBorders>
            <w:tcW w:w="5596" w:type="dxa"/>
            <w:vAlign w:val="center"/>
            <w:textDirection w:val="lrTb"/>
            <w:noWrap w:val="false"/>
          </w:tcPr>
          <w:p>
            <w:pPr>
              <w:jc w:val="left"/>
              <w:spacing w:after="0" w:line="520" w:lineRule="exact"/>
              <w:widowControl/>
              <w:rPr>
                <w:rFonts w:hint="default" w:ascii="宋体" w:hAnsi="宋体" w:cs="宋体"/>
                <w:color w:val="auto"/>
                <w:sz w:val="24"/>
                <w:highlight w:val="none"/>
              </w:rPr>
            </w:pPr>
            <w:r>
              <w:rPr>
                <w:rFonts w:hint="eastAsia" w:ascii="宋体" w:hAnsi="宋体" w:cs="宋体"/>
                <w:color w:val="auto"/>
                <w:sz w:val="24"/>
                <w:highlight w:val="none"/>
              </w:rPr>
              <w:t xml:space="preserve">阻挠妨碍考核人员正常检查工作的每次扣2-5分。</w:t>
            </w:r>
            <w:bookmarkEnd w:id="32"/>
            <w:r/>
            <w:r/>
          </w:p>
        </w:tc>
      </w:tr>
    </w:tbl>
    <w:p>
      <w:pPr>
        <w:ind w:left="0" w:right="-1260"/>
        <w:jc w:val="both"/>
        <w:spacing w:after="120" w:line="520" w:lineRule="exact"/>
        <w:widowControl w:val="off"/>
        <w:rPr>
          <w:rFonts w:ascii="Calibri" w:hAnsi="Calibri"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备注：上述重点项目考核细则，在分数计算时，直接从月度考核总分中扣减。</w:t>
      </w:r>
      <w:r/>
    </w:p>
    <w:p>
      <w:pPr>
        <w:pStyle w:val="895"/>
        <w:spacing w:line="360" w:lineRule="auto"/>
        <w:rPr>
          <w:rFonts w:hint="eastAsia" w:ascii="宋体" w:hAnsi="宋体" w:cs="宋体"/>
          <w:bCs/>
          <w:color w:val="auto"/>
          <w:sz w:val="28"/>
          <w:szCs w:val="28"/>
          <w:highlight w:val="none"/>
        </w:rPr>
      </w:pPr>
      <w:r>
        <w:rPr>
          <w:rFonts w:hint="eastAsia" w:ascii="宋体" w:hAnsi="宋体" w:cs="宋体"/>
          <w:color w:val="auto"/>
          <w:sz w:val="24"/>
          <w:highlight w:val="none"/>
          <w:lang w:val="en-US" w:eastAsia="zh-CN"/>
        </w:rPr>
        <w:t xml:space="preserve">七</w:t>
      </w:r>
      <w:r>
        <w:rPr>
          <w:rFonts w:hint="eastAsia" w:ascii="宋体" w:hAnsi="宋体" w:eastAsia="宋体" w:cs="宋体"/>
          <w:b/>
          <w:bCs/>
          <w:color w:val="auto"/>
          <w:sz w:val="28"/>
          <w:szCs w:val="28"/>
          <w:highlight w:val="none"/>
        </w:rPr>
        <w:t xml:space="preserve">、其他要求：见《拟签订的合同文本》。</w:t>
      </w:r>
      <w:r/>
    </w:p>
    <w:p>
      <w:pPr>
        <w:spacing w:line="288" w:lineRule="auto"/>
        <w:rPr>
          <w:rFonts w:ascii="宋体" w:hAnsi="宋体" w:cs="宋体"/>
          <w:b/>
          <w:color w:val="auto"/>
          <w:sz w:val="24"/>
          <w:highlight w:val="none"/>
        </w:rPr>
      </w:pPr>
      <w:r>
        <w:rPr>
          <w:rFonts w:ascii="宋体" w:hAnsi="宋体" w:cs="宋体"/>
          <w:b/>
          <w:color w:val="auto"/>
          <w:sz w:val="24"/>
          <w:highlight w:val="none"/>
        </w:rPr>
      </w:r>
      <w:r/>
    </w:p>
    <w:p>
      <w:pPr>
        <w:jc w:val="center"/>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第七章投标文件相关格式</w:t>
      </w:r>
      <w:r/>
    </w:p>
    <w:p>
      <w:pPr>
        <w:ind w:firstLine="640"/>
        <w:jc w:val="center"/>
        <w:spacing w:line="239" w:lineRule="atLeast"/>
        <w:rPr>
          <w:rFonts w:ascii="宋体" w:hAnsi="宋体" w:cs="宋体"/>
          <w:color w:val="auto"/>
          <w:sz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r>
      <w:r/>
    </w:p>
    <w:p>
      <w:pPr>
        <w:ind w:firstLine="64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一、投标函格式</w:t>
      </w:r>
      <w:r/>
    </w:p>
    <w:p>
      <w:pPr>
        <w:spacing w:line="23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致：</w:t>
      </w:r>
      <w:r>
        <w:rPr>
          <w:rFonts w:hint="eastAsia" w:ascii="宋体" w:hAnsi="宋体" w:cs="宋体"/>
          <w:color w:val="auto"/>
          <w:sz w:val="30"/>
          <w:highlight w:val="none"/>
          <w:u w:val="single"/>
          <w:lang w:eastAsia="zh-CN"/>
        </w:rPr>
        <w:t xml:space="preserve">徐州市云龙区城市管理局</w:t>
      </w:r>
      <w:r/>
    </w:p>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根据</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项目[项目编号：</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]招标文件，</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(姓名)代表我方</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（投标人的名称）全权处理本次投标的有关事宜。</w:t>
      </w:r>
      <w:r/>
    </w:p>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据此函，投标人承诺并同意如下： </w:t>
      </w:r>
      <w:r/>
    </w:p>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 投标人唯一投标报价见《开标一览表》。</w:t>
      </w:r>
      <w:r/>
    </w:p>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 投标人将按招标文件的规定履行合同责任和义务。</w:t>
      </w:r>
      <w:r/>
    </w:p>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4. 投标有效期为开标之日后90天。</w:t>
      </w:r>
      <w:r/>
    </w:p>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5. 投标人同意提供按照贵方可能要求的与其投标有关的一切数据或资料，完全理解贵方不一定接受最低价的投标或收到的任何投标。</w:t>
      </w:r>
      <w:r/>
    </w:p>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6. 投标人同意按照招标文件规定支付招标代理服务费。</w:t>
      </w:r>
      <w:r/>
    </w:p>
    <w:p>
      <w:pPr>
        <w:ind w:right="29"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7. 采购人或采购代理机构有权将我单位本项目的《开标一览表》和《分项价格表》予以公示，公示的方式由</w:t>
      </w:r>
      <w:r>
        <w:rPr>
          <w:rFonts w:hint="eastAsia" w:ascii="宋体" w:hAnsi="宋体" w:cs="宋体"/>
          <w:color w:val="auto"/>
          <w:sz w:val="30"/>
          <w:highlight w:val="none"/>
          <w:lang w:eastAsia="zh-CN"/>
        </w:rPr>
        <w:t xml:space="preserve">江苏润沐工程管理咨询有限公司</w:t>
      </w:r>
      <w:r>
        <w:rPr>
          <w:rFonts w:hint="eastAsia" w:ascii="宋体" w:hAnsi="宋体" w:cs="宋体"/>
          <w:color w:val="auto"/>
          <w:sz w:val="30"/>
          <w:highlight w:val="none"/>
        </w:rPr>
        <w:t xml:space="preserve">确定。</w:t>
      </w:r>
      <w:r/>
    </w:p>
    <w:p>
      <w:pPr>
        <w:ind w:right="29" w:firstLine="600"/>
        <w:spacing w:line="23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8.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6. 与本投标有关的一切正式往来信函请寄：</w:t>
      </w:r>
      <w:r/>
    </w:p>
    <w:p>
      <w:pPr>
        <w:ind w:firstLine="12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地址： </w:t>
      </w:r>
      <w:r/>
    </w:p>
    <w:p>
      <w:pPr>
        <w:ind w:firstLine="12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电话： </w:t>
      </w:r>
      <w:r/>
    </w:p>
    <w:p>
      <w:pPr>
        <w:ind w:firstLine="12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传真： </w:t>
      </w:r>
      <w:r/>
    </w:p>
    <w:p>
      <w:pPr>
        <w:ind w:firstLine="2700"/>
        <w:spacing w:line="23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ind w:firstLine="2700"/>
        <w:spacing w:line="23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（电子签章）</w:t>
      </w:r>
      <w:r/>
    </w:p>
    <w:p>
      <w:pPr>
        <w:ind w:firstLine="2700"/>
        <w:spacing w:line="23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ind w:firstLine="27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ind w:firstLine="600"/>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二</w:t>
      </w:r>
      <w:r>
        <w:rPr>
          <w:rFonts w:hint="eastAsia" w:ascii="宋体" w:hAnsi="宋体" w:cs="宋体"/>
          <w:b/>
          <w:bCs/>
          <w:color w:val="auto"/>
          <w:sz w:val="32"/>
          <w:szCs w:val="32"/>
          <w:highlight w:val="none"/>
        </w:rPr>
        <w:t xml:space="preserve">、分项价格表格式</w:t>
      </w:r>
      <w:r/>
    </w:p>
    <w:p>
      <w:pPr>
        <w:ind w:firstLine="600"/>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jc w:val="right"/>
        <w:rPr>
          <w:rFonts w:ascii="宋体" w:hAnsi="宋体" w:cs="宋体"/>
          <w:color w:val="auto"/>
          <w:sz w:val="28"/>
          <w:szCs w:val="28"/>
          <w:highlight w:val="none"/>
        </w:rPr>
      </w:pPr>
      <w:r>
        <w:rPr>
          <w:rFonts w:hint="eastAsia" w:ascii="宋体" w:hAnsi="宋体" w:cs="宋体"/>
          <w:color w:val="auto"/>
          <w:sz w:val="28"/>
          <w:szCs w:val="28"/>
          <w:highlight w:val="none"/>
        </w:rPr>
        <w:t xml:space="preserve">          　 货币单位：人民币元</w:t>
      </w:r>
      <w:r/>
    </w:p>
    <w:p>
      <w:pPr>
        <w:ind w:firstLine="3120"/>
        <w:rPr>
          <w:rFonts w:ascii="宋体" w:hAnsi="宋体" w:cs="宋体"/>
          <w:color w:val="auto"/>
          <w:sz w:val="24"/>
          <w:highlight w:val="none"/>
        </w:rPr>
      </w:pPr>
      <w:r>
        <w:rPr>
          <w:rFonts w:ascii="宋体" w:hAnsi="宋体" w:cs="宋体"/>
          <w:color w:val="auto"/>
          <w:sz w:val="24"/>
          <w:highlight w:val="none"/>
        </w:rPr>
      </w:r>
      <w:r/>
    </w:p>
    <w:p>
      <w:pP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格式自拟</w:t>
      </w:r>
      <w:r/>
    </w:p>
    <w:p>
      <w:pPr>
        <w:ind w:firstLine="3640"/>
        <w:spacing w:line="30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640"/>
        <w:spacing w:line="30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28"/>
          <w:szCs w:val="28"/>
          <w:highlight w:val="none"/>
        </w:rPr>
        <w:t xml:space="preserve">（电子签章）</w:t>
      </w:r>
      <w:r/>
    </w:p>
    <w:p>
      <w:pPr>
        <w:ind w:firstLine="364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rPr>
          <w:rFonts w:ascii="宋体" w:hAnsi="宋体" w:cs="宋体"/>
          <w:color w:val="auto"/>
          <w:sz w:val="28"/>
          <w:szCs w:val="28"/>
          <w:highlight w:val="none"/>
        </w:rPr>
      </w:pPr>
      <w:r>
        <w:rPr>
          <w:rFonts w:ascii="宋体" w:hAnsi="宋体" w:cs="宋体"/>
          <w:color w:val="auto"/>
          <w:sz w:val="28"/>
          <w:szCs w:val="28"/>
          <w:highlight w:val="none"/>
        </w:rPr>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注：</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1、如果不提供详细分项报价将视为没有实质性响应招标文件。</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2、投标人对以上数据的真实性负责。</w:t>
      </w:r>
      <w:r/>
    </w:p>
    <w:p>
      <w:pPr>
        <w:jc w:val="lef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采购人或采购代理机构有权将以上内容进行公示。</w:t>
      </w:r>
      <w:r/>
    </w:p>
    <w:p>
      <w:pPr>
        <w:ind w:firstLine="56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p>
    <w:p>
      <w:pPr>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、偏离表格式</w:t>
      </w:r>
      <w:r/>
    </w:p>
    <w:p>
      <w:pP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项目编号：</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项目名称：</w:t>
      </w:r>
      <w:r/>
    </w:p>
    <w:tbl>
      <w:tblPr>
        <w:tblStyle w:val="90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r>
        <w:trPr>
          <w:trHeight w:val="794"/>
        </w:trPr>
        <w:tc>
          <w:tcPr>
            <w:tcMar>
              <w:left w:w="108" w:type="dxa"/>
              <w:top w:w="0" w:type="dxa"/>
              <w:right w:w="108" w:type="dxa"/>
              <w:bottom w:w="0" w:type="dxa"/>
            </w:tcMar>
            <w:tcW w:w="828"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66"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15"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83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380"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c>
          <w:tcPr>
            <w:tcMar>
              <w:left w:w="108" w:type="dxa"/>
              <w:top w:w="0" w:type="dxa"/>
              <w:right w:w="108" w:type="dxa"/>
              <w:bottom w:w="0" w:type="dxa"/>
            </w:tcMar>
            <w:tcW w:w="1597" w:type="dxa"/>
            <w:textDirection w:val="lrTb"/>
            <w:noWrap w:val="false"/>
          </w:tcPr>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tc>
      </w:tr>
    </w:tbl>
    <w:p>
      <w:pPr>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注</w:t>
      </w:r>
      <w:r>
        <w:rPr>
          <w:rFonts w:hint="eastAsia" w:ascii="宋体" w:hAnsi="宋体" w:cs="宋体"/>
          <w:color w:val="auto"/>
          <w:sz w:val="28"/>
          <w:highlight w:val="none"/>
        </w:rPr>
        <w:t xml:space="preserve">：投标人的投标文件中的内容与招标文件（含招标文件的澄清或者修改的内容）的要求不同时，逐条列在偏离表中，否则将视为投标人接受招标文件的要求。</w:t>
      </w:r>
      <w:r/>
    </w:p>
    <w:p>
      <w:pPr>
        <w:spacing w:line="71"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（电子签章）</w:t>
      </w:r>
      <w:r/>
    </w:p>
    <w:p>
      <w:pPr>
        <w:ind w:firstLine="390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32"/>
          <w:szCs w:val="32"/>
          <w:highlight w:val="none"/>
        </w:rPr>
      </w:r>
      <w:r/>
    </w:p>
    <w:p>
      <w:pPr>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四</w:t>
      </w:r>
      <w:r>
        <w:rPr>
          <w:rFonts w:hint="eastAsia" w:ascii="宋体" w:hAnsi="宋体" w:cs="宋体"/>
          <w:b/>
          <w:bCs/>
          <w:color w:val="auto"/>
          <w:sz w:val="32"/>
          <w:szCs w:val="32"/>
          <w:highlight w:val="none"/>
        </w:rPr>
        <w:t xml:space="preserve">、授权委托书及法定代表人身份证明书格式</w:t>
      </w:r>
      <w:r/>
    </w:p>
    <w:p>
      <w:pPr>
        <w:jc w:val="center"/>
        <w:spacing w:line="479" w:lineRule="atLeast"/>
        <w:rPr>
          <w:rFonts w:ascii="宋体" w:hAnsi="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（一）授权委托书</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委托人：</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地址：</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法定代表人：               职务：</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统一社会信用代码：</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受托人：        性别：男（女）</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年龄：  岁      民族：  族</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职务：</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身份证号：</w:t>
      </w:r>
      <w:r/>
    </w:p>
    <w:p>
      <w:pPr>
        <w:ind w:firstLine="600"/>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兹委托（</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）全权代表我企业（公司）参与（</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）项目（项目编号：</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）的招、投标活动及签订合同。（</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）以我企业（公司）名义所为的法律行为及签署的文件，我企业（公司）均予以认可。有关法律责任均由我企业（公司）承担。（</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）无转委托权。</w:t>
      </w:r>
      <w:r/>
    </w:p>
    <w:p>
      <w:pPr>
        <w:ind w:firstLine="6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委托期限自</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年</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月</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日起至</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年</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月</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日止。</w:t>
      </w:r>
      <w:r/>
    </w:p>
    <w:p>
      <w:pPr>
        <w:ind w:firstLine="63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特此授权委托。</w:t>
      </w:r>
      <w:r/>
    </w:p>
    <w:p>
      <w:pPr>
        <w:ind w:firstLine="600"/>
        <w:spacing w:line="479" w:lineRule="atLeast"/>
        <w:rPr>
          <w:rFonts w:ascii="宋体" w:hAnsi="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委托人（电子签章）：</w:t>
      </w:r>
      <w:r/>
    </w:p>
    <w:p>
      <w:pPr>
        <w:ind w:firstLine="600"/>
        <w:spacing w:line="479" w:lineRule="atLeast"/>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法定代表人（签字或盖章）： </w:t>
      </w:r>
      <w:r/>
    </w:p>
    <w:p>
      <w:pPr>
        <w:ind w:firstLine="600"/>
        <w:spacing w:line="479" w:lineRule="atLeast"/>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受托人（签字或盖章）：</w:t>
      </w:r>
      <w:r/>
    </w:p>
    <w:p>
      <w:pPr>
        <w:pStyle w:val="886"/>
        <w:ind w:left="0" w:firstLine="602"/>
        <w:rPr>
          <w:rFonts w:ascii="宋体" w:hAnsi="宋体" w:cs="宋体"/>
          <w:color w:val="auto"/>
          <w:sz w:val="30"/>
          <w:highlight w:val="none"/>
        </w:rPr>
      </w:pPr>
      <w:r>
        <w:rPr>
          <w:rFonts w:hint="eastAsia" w:ascii="宋体" w:hAnsi="宋体" w:cs="宋体"/>
          <w:b/>
          <w:bCs/>
          <w:color w:val="auto"/>
          <w:sz w:val="30"/>
          <w:highlight w:val="none"/>
        </w:rPr>
        <w:t xml:space="preserve">受托人联系方式：  </w:t>
      </w:r>
      <w:r>
        <w:rPr>
          <w:rFonts w:hint="eastAsia" w:ascii="宋体" w:hAnsi="宋体" w:cs="宋体"/>
          <w:b/>
          <w:bCs/>
          <w:color w:val="auto"/>
          <w:sz w:val="30"/>
          <w:highlight w:val="none"/>
          <w:lang w:val="en-US" w:eastAsia="zh-CN"/>
        </w:rPr>
        <w:t xml:space="preserve">   </w:t>
      </w:r>
      <w:r>
        <w:rPr>
          <w:rFonts w:hint="eastAsia" w:ascii="宋体" w:hAnsi="宋体" w:cs="宋体"/>
          <w:b/>
          <w:bCs/>
          <w:color w:val="auto"/>
          <w:sz w:val="30"/>
          <w:highlight w:val="none"/>
        </w:rPr>
        <w:t xml:space="preserve">邮箱：</w:t>
      </w:r>
      <w:r/>
    </w:p>
    <w:p>
      <w:pPr>
        <w:ind w:right="600" w:firstLine="6150"/>
        <w:spacing w:line="479" w:lineRule="atLeast"/>
        <w:rPr>
          <w:rFonts w:ascii="宋体" w:hAnsi="宋体" w:cs="宋体"/>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年  月 日 </w:t>
      </w:r>
      <w:r/>
    </w:p>
    <w:p>
      <w:pP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highlight w:val="none"/>
        </w:rPr>
        <w:t xml:space="preserve">(受托人身份证扫描件附后)</w:t>
      </w:r>
      <w:r>
        <w:rPr>
          <w:rFonts w:hint="eastAsia" w:ascii="宋体" w:hAnsi="宋体" w:cs="宋体"/>
          <w:color w:val="auto"/>
          <w:sz w:val="28"/>
          <w:highlight w:val="none"/>
        </w:rPr>
        <w:t xml:space="preserve"> </w:t>
      </w:r>
      <w:r/>
    </w:p>
    <w:p>
      <w:pPr>
        <w:ind w:firstLine="600"/>
        <w:jc w:val="center"/>
        <w:spacing w:before="100" w:after="100"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32"/>
          <w:szCs w:val="32"/>
          <w:highlight w:val="none"/>
        </w:rPr>
      </w:r>
      <w:r/>
    </w:p>
    <w:p>
      <w:pPr>
        <w:jc w:val="center"/>
        <w:spacing w:before="100" w:after="100"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rPr>
        <w:t xml:space="preserve">（二）法定代表人身份证明书</w:t>
      </w:r>
      <w:r/>
    </w:p>
    <w:p>
      <w:pPr>
        <w:pStyle w:val="895"/>
        <w:rPr>
          <w:rFonts w:ascii="宋体" w:hAnsi="宋体" w:cs="宋体"/>
          <w:color w:val="auto"/>
          <w:highlight w:val="none"/>
        </w:rPr>
      </w:pPr>
      <w:r>
        <w:rPr>
          <w:rFonts w:ascii="宋体" w:hAnsi="宋体" w:cs="宋体"/>
          <w:color w:val="auto"/>
          <w:highlight w:val="none"/>
        </w:rPr>
      </w:r>
      <w:r/>
    </w:p>
    <w:p>
      <w:pPr>
        <w:pStyle w:val="882"/>
        <w:ind w:firstLine="480"/>
        <w:spacing w:line="500" w:lineRule="exact"/>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pStyle w:val="882"/>
        <w:spacing w:line="360" w:lineRule="auto"/>
        <w:tabs>
          <w:tab w:val="left" w:pos="720" w:leader="none"/>
          <w:tab w:val="left" w:pos="900"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单位名称：</w:t>
      </w:r>
      <w:r/>
    </w:p>
    <w:p>
      <w:pPr>
        <w:pStyle w:val="882"/>
        <w:spacing w:line="360" w:lineRule="auto"/>
        <w:tabs>
          <w:tab w:val="left" w:pos="720" w:leader="none"/>
          <w:tab w:val="left" w:pos="900"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地址：</w:t>
      </w:r>
      <w:r/>
    </w:p>
    <w:p>
      <w:pPr>
        <w:pStyle w:val="882"/>
        <w:spacing w:line="360" w:lineRule="auto"/>
        <w:tabs>
          <w:tab w:val="left" w:pos="720" w:leader="none"/>
          <w:tab w:val="left" w:pos="900"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姓名：            性别：    </w:t>
      </w:r>
      <w:r/>
    </w:p>
    <w:p>
      <w:pPr>
        <w:pStyle w:val="882"/>
        <w:spacing w:line="360" w:lineRule="auto"/>
        <w:tabs>
          <w:tab w:val="left" w:pos="720" w:leader="none"/>
          <w:tab w:val="left" w:pos="900"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身份证号：        职务：</w:t>
      </w:r>
      <w:r/>
    </w:p>
    <w:p>
      <w:pPr>
        <w:pStyle w:val="882"/>
        <w:ind w:firstLine="960"/>
        <w:spacing w:line="360" w:lineRule="auto"/>
        <w:rPr>
          <w:rFonts w:ascii="宋体" w:hAnsi="宋体" w:cs="宋体"/>
          <w:color w:val="auto"/>
          <w:sz w:val="30"/>
          <w:szCs w:val="30"/>
          <w:highlight w:val="none"/>
          <w:u w:val="single"/>
        </w:rPr>
      </w:pPr>
      <w:r>
        <w:rPr>
          <w:rFonts w:ascii="宋体" w:hAnsi="宋体" w:cs="宋体"/>
          <w:color w:val="auto"/>
          <w:sz w:val="30"/>
          <w:szCs w:val="30"/>
          <w:highlight w:val="none"/>
          <w:u w:val="single"/>
        </w:rPr>
      </w:r>
      <w:r/>
    </w:p>
    <w:p>
      <w:pPr>
        <w:pStyle w:val="882"/>
        <w:ind w:firstLine="60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系我企业（公司）的法定代表人。</w:t>
      </w:r>
      <w:r/>
    </w:p>
    <w:p>
      <w:pPr>
        <w:pStyle w:val="882"/>
        <w:spacing w:line="360" w:lineRule="auto"/>
        <w:tabs>
          <w:tab w:val="left" w:pos="720" w:leader="none"/>
          <w:tab w:val="left" w:pos="900" w:leader="none"/>
        </w:tabs>
        <w:rPr>
          <w:rFonts w:ascii="宋体" w:hAnsi="宋体" w:cs="宋体"/>
          <w:color w:val="auto"/>
          <w:sz w:val="30"/>
          <w:szCs w:val="30"/>
          <w:highlight w:val="none"/>
        </w:rPr>
      </w:pPr>
      <w:r>
        <w:rPr>
          <w:rFonts w:ascii="宋体" w:hAnsi="宋体" w:cs="宋体"/>
          <w:color w:val="auto"/>
          <w:sz w:val="30"/>
          <w:szCs w:val="30"/>
          <w:highlight w:val="none"/>
        </w:rPr>
      </w:r>
      <w:r/>
    </w:p>
    <w:p>
      <w:pPr>
        <w:pStyle w:val="882"/>
        <w:ind w:firstLine="480"/>
        <w:spacing w:line="360" w:lineRule="auto"/>
        <w:tabs>
          <w:tab w:val="left" w:pos="720" w:leader="none"/>
          <w:tab w:val="left" w:pos="900" w:leader="none"/>
        </w:tabs>
        <w:rPr>
          <w:rFonts w:ascii="宋体" w:hAnsi="宋体" w:cs="宋体"/>
          <w:color w:val="auto"/>
          <w:sz w:val="30"/>
          <w:szCs w:val="30"/>
          <w:highlight w:val="none"/>
        </w:rPr>
      </w:pPr>
      <w:r>
        <w:rPr>
          <w:rFonts w:hint="eastAsia" w:ascii="宋体" w:hAnsi="宋体" w:cs="宋体"/>
          <w:color w:val="auto"/>
          <w:sz w:val="30"/>
          <w:szCs w:val="30"/>
          <w:highlight w:val="none"/>
        </w:rPr>
        <w:t xml:space="preserve">特此证明。</w:t>
      </w:r>
      <w:r/>
    </w:p>
    <w:p>
      <w:pPr>
        <w:pStyle w:val="882"/>
        <w:ind w:firstLine="480"/>
        <w:spacing w:line="360" w:lineRule="auto"/>
        <w:tabs>
          <w:tab w:val="left" w:pos="720" w:leader="none"/>
          <w:tab w:val="left" w:pos="900" w:leader="none"/>
        </w:tabs>
        <w:rPr>
          <w:rFonts w:ascii="宋体" w:hAnsi="宋体" w:cs="宋体"/>
          <w:color w:val="auto"/>
          <w:sz w:val="30"/>
          <w:szCs w:val="30"/>
          <w:highlight w:val="none"/>
        </w:rPr>
      </w:pPr>
      <w:r>
        <w:rPr>
          <w:rFonts w:ascii="宋体" w:hAnsi="宋体" w:cs="宋体"/>
          <w:color w:val="auto"/>
          <w:sz w:val="30"/>
          <w:szCs w:val="30"/>
          <w:highlight w:val="none"/>
        </w:rPr>
      </w:r>
      <w:r/>
    </w:p>
    <w:p>
      <w:pPr>
        <w:spacing w:line="71" w:lineRule="atLeast"/>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spacing w:line="71" w:lineRule="atLeast"/>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highlight w:val="none"/>
        </w:rPr>
        <w:t xml:space="preserve">投标人：</w:t>
      </w:r>
      <w:r>
        <w:rPr>
          <w:rFonts w:hint="eastAsia" w:ascii="宋体" w:hAnsi="宋体" w:cs="宋体"/>
          <w:color w:val="auto"/>
          <w:sz w:val="30"/>
          <w:szCs w:val="30"/>
          <w:highlight w:val="none"/>
          <w:u w:val="single"/>
        </w:rPr>
        <w:t xml:space="preserve">           </w:t>
      </w:r>
      <w:r>
        <w:rPr>
          <w:rFonts w:hint="eastAsia" w:ascii="宋体" w:hAnsi="宋体" w:cs="宋体"/>
          <w:color w:val="auto"/>
          <w:sz w:val="30"/>
          <w:szCs w:val="30"/>
          <w:highlight w:val="none"/>
        </w:rPr>
        <w:t xml:space="preserve">（电子签章）</w:t>
      </w:r>
      <w:r/>
    </w:p>
    <w:p>
      <w:pPr>
        <w:spacing w:line="85" w:lineRule="atLeast"/>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highlight w:val="none"/>
        </w:rPr>
        <w:t xml:space="preserve"> </w:t>
      </w:r>
      <w:r/>
    </w:p>
    <w:p>
      <w:pPr>
        <w:spacing w:line="85" w:lineRule="atLeast"/>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highlight w:val="none"/>
        </w:rPr>
        <w:t xml:space="preserve">法定代表人（签字或盖章）：</w:t>
      </w:r>
      <w:r/>
    </w:p>
    <w:p>
      <w:pPr>
        <w:spacing w:line="85" w:lineRule="atLeast"/>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p>
    <w:p>
      <w:pPr>
        <w:spacing w:line="85" w:lineRule="atLeast"/>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highlight w:val="none"/>
        </w:rPr>
        <w:t xml:space="preserve">日期： 年 月 日</w:t>
      </w:r>
      <w:r/>
    </w:p>
    <w:p>
      <w:pPr>
        <w:pStyle w:val="882"/>
        <w:jc w:val="right"/>
        <w:spacing w:line="360" w:lineRule="auto"/>
        <w:tabs>
          <w:tab w:val="left" w:pos="720" w:leader="none"/>
          <w:tab w:val="left" w:pos="900" w:leader="none"/>
        </w:tabs>
        <w:rPr>
          <w:rFonts w:ascii="宋体" w:hAnsi="宋体" w:cs="宋体"/>
          <w:color w:val="auto"/>
          <w:sz w:val="28"/>
          <w:szCs w:val="28"/>
          <w:highlight w:val="none"/>
        </w:rPr>
      </w:pPr>
      <w:r>
        <w:rPr>
          <w:rFonts w:ascii="宋体" w:hAnsi="宋体" w:cs="宋体"/>
          <w:color w:val="auto"/>
          <w:sz w:val="28"/>
          <w:szCs w:val="28"/>
          <w:highlight w:val="none"/>
        </w:rPr>
      </w:r>
      <w:r/>
    </w:p>
    <w:p>
      <w:pPr>
        <w:pStyle w:val="882"/>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882"/>
        <w:spacing w:line="360" w:lineRule="auto"/>
        <w:tabs>
          <w:tab w:val="left" w:pos="720" w:leader="none"/>
          <w:tab w:val="left" w:pos="900" w:leader="none"/>
        </w:tabs>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(法定代表人身份证原件扫描件附后）</w:t>
      </w:r>
      <w:r/>
    </w:p>
    <w:p>
      <w:pPr>
        <w:rPr>
          <w:rFonts w:ascii="宋体" w:hAnsi="宋体" w:cs="宋体"/>
          <w:b/>
          <w:bCs/>
          <w:color w:val="auto"/>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highlight w:val="none"/>
        </w:rPr>
      </w:r>
      <w:r/>
    </w:p>
    <w:p>
      <w:pPr>
        <w:ind w:firstLine="600"/>
        <w:jc w:val="center"/>
        <w:spacing w:before="100" w:after="100"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五</w:t>
      </w:r>
      <w:r>
        <w:rPr>
          <w:rFonts w:hint="eastAsia" w:ascii="宋体" w:hAnsi="宋体" w:cs="宋体"/>
          <w:b/>
          <w:bCs/>
          <w:color w:val="auto"/>
          <w:sz w:val="32"/>
          <w:szCs w:val="32"/>
          <w:highlight w:val="none"/>
        </w:rPr>
        <w:t xml:space="preserve">、中小企业声明函格式</w:t>
      </w:r>
      <w:r/>
    </w:p>
    <w:p>
      <w:pPr>
        <w:spacing w:before="100" w:after="10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项目编号：</w:t>
      </w:r>
      <w:r/>
    </w:p>
    <w:p>
      <w:pPr>
        <w:spacing w:before="100" w:after="100" w:line="24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项目名称：</w:t>
      </w:r>
      <w:r/>
    </w:p>
    <w:p>
      <w:pPr>
        <w:ind w:firstLine="480"/>
        <w:spacing w:line="24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徐州市云龙区城市管理局</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云龙区居民小区生活垃圾分类服务项目</w:t>
      </w:r>
      <w:r>
        <w:rPr>
          <w:rFonts w:hint="eastAsia" w:ascii="宋体" w:hAnsi="宋体" w:cs="宋体"/>
          <w:color w:val="auto"/>
          <w:sz w:val="28"/>
          <w:szCs w:val="28"/>
          <w:highlight w:val="none"/>
        </w:rPr>
        <w:t xml:space="preserve">）采购活动，</w:t>
      </w:r>
      <w:r>
        <w:rPr>
          <w:rFonts w:hint="eastAsia" w:ascii="宋体" w:hAnsi="宋体" w:cs="宋体"/>
          <w:color w:val="auto"/>
          <w:sz w:val="28"/>
          <w:szCs w:val="28"/>
          <w:highlight w:val="none"/>
          <w:lang w:val="en-US" w:eastAsia="zh-CN"/>
        </w:rPr>
        <w:t xml:space="preserve">服务</w:t>
      </w:r>
      <w:r>
        <w:rPr>
          <w:rFonts w:hint="eastAsia" w:ascii="宋体" w:hAnsi="宋体" w:cs="宋体"/>
          <w:color w:val="auto"/>
          <w:sz w:val="28"/>
          <w:szCs w:val="28"/>
          <w:highlight w:val="none"/>
        </w:rPr>
        <w:t xml:space="preserve">全部由符合政策要求的中小企业</w:t>
      </w:r>
      <w:r>
        <w:rPr>
          <w:rFonts w:hint="eastAsia" w:ascii="宋体" w:hAnsi="宋体" w:cs="宋体"/>
          <w:color w:val="auto"/>
          <w:sz w:val="28"/>
          <w:szCs w:val="28"/>
          <w:highlight w:val="none"/>
          <w:lang w:val="en-US" w:eastAsia="zh-CN"/>
        </w:rPr>
        <w:t xml:space="preserve">承接</w:t>
      </w:r>
      <w:r>
        <w:rPr>
          <w:rFonts w:hint="eastAsia" w:ascii="宋体" w:hAnsi="宋体" w:cs="宋体"/>
          <w:color w:val="auto"/>
          <w:sz w:val="28"/>
          <w:szCs w:val="28"/>
          <w:highlight w:val="none"/>
        </w:rPr>
        <w:t xml:space="preserve">。相关企业的具体情况如下：</w:t>
      </w:r>
      <w:r/>
    </w:p>
    <w:p>
      <w:pPr>
        <w:pStyle w:val="882"/>
        <w:ind w:firstLine="480"/>
        <w:keepLines w:val="0"/>
        <w:keepNext w:val="0"/>
        <w:pageBreakBefore w:val="0"/>
        <w:spacing w:line="360" w:lineRule="auto"/>
        <w:rPr>
          <w:rFonts w:hint="eastAsia" w:ascii="宋体" w:hAnsi="宋体" w:eastAsia="宋体" w:cs="宋体"/>
          <w:color w:val="auto"/>
          <w:spacing w:val="6"/>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云龙区居民小区生活垃圾分类服务项目</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），属于（</w:t>
      </w:r>
      <w:r>
        <w:rPr>
          <w:rFonts w:hint="eastAsia" w:ascii="宋体" w:hAnsi="宋体" w:cs="宋体"/>
          <w:b/>
          <w:bCs/>
          <w:color w:val="auto"/>
          <w:sz w:val="28"/>
          <w:szCs w:val="28"/>
          <w:highlight w:val="none"/>
          <w:u w:val="single"/>
        </w:rPr>
        <w:t xml:space="preserve">其它未列明行业</w:t>
      </w:r>
      <w:r>
        <w:rPr>
          <w:rFonts w:hint="eastAsia" w:ascii="宋体" w:hAnsi="宋体" w:cs="宋体"/>
          <w:color w:val="auto"/>
          <w:sz w:val="28"/>
          <w:szCs w:val="28"/>
          <w:highlight w:val="none"/>
        </w:rPr>
        <w:t xml:space="preserve">）行业；</w:t>
      </w:r>
      <w:r>
        <w:rPr>
          <w:rFonts w:hint="eastAsia" w:ascii="宋体" w:hAnsi="宋体" w:eastAsia="宋体" w:cs="宋体"/>
          <w:color w:val="auto"/>
          <w:sz w:val="28"/>
          <w:szCs w:val="28"/>
          <w:highlight w:val="none"/>
        </w:rPr>
        <w:t xml:space="preserve">承建（承接）企业为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人，营业收入为</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rPr>
        <w:t xml:space="preserve">（</w:t>
      </w:r>
      <w:r>
        <w:rPr>
          <w:rStyle w:val="1116"/>
          <w:rFonts w:hint="eastAsia" w:ascii="宋体" w:hAnsi="宋体" w:cs="宋体"/>
          <w:b/>
          <w:color w:val="auto"/>
          <w:sz w:val="28"/>
          <w:szCs w:val="28"/>
          <w:highlight w:val="none"/>
        </w:rPr>
        <w:t xml:space="preserve">□中型企业、□小型企业、□微型企业，请勾选！</w:t>
      </w:r>
      <w:r>
        <w:rPr>
          <w:rFonts w:hint="eastAsia" w:ascii="宋体" w:hAnsi="宋体" w:eastAsia="宋体" w:cs="宋体"/>
          <w:color w:val="auto"/>
          <w:sz w:val="28"/>
          <w:szCs w:val="28"/>
          <w:highlight w:val="none"/>
        </w:rPr>
        <w:t xml:space="preserve">）；</w:t>
      </w:r>
      <w:r/>
    </w:p>
    <w:p>
      <w:pPr>
        <w:pStyle w:val="885"/>
        <w:ind w:left="0" w:firstLine="561"/>
        <w:spacing w:after="0" w:line="24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885"/>
        <w:ind w:left="0" w:firstLine="561"/>
        <w:spacing w:after="0"/>
        <w:rPr>
          <w:rFonts w:ascii="宋体" w:hAnsi="宋体" w:cs="宋体"/>
          <w:color w:val="auto"/>
          <w:sz w:val="28"/>
          <w:szCs w:val="28"/>
          <w:highlight w:val="none"/>
        </w:rPr>
      </w:pPr>
      <w:r>
        <w:rPr>
          <w:rFonts w:ascii="宋体" w:hAnsi="宋体" w:cs="宋体"/>
          <w:color w:val="auto"/>
          <w:sz w:val="28"/>
          <w:szCs w:val="28"/>
          <w:highlight w:val="none"/>
        </w:rPr>
      </w:r>
      <w:r/>
    </w:p>
    <w:p>
      <w:pPr>
        <w:pStyle w:val="88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pStyle w:val="88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rPr>
          <w:rFonts w:ascii="宋体" w:hAnsi="宋体" w:cs="宋体"/>
          <w:b/>
          <w:bCs/>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spacing w:line="360" w:lineRule="auto"/>
        <w:rPr>
          <w:rStyle w:val="1116"/>
          <w:rFonts w:hint="eastAsia" w:ascii="宋体" w:hAnsi="宋体" w:cs="宋体"/>
          <w:b/>
          <w:bCs/>
          <w:color w:val="auto"/>
          <w:sz w:val="28"/>
          <w:szCs w:val="28"/>
          <w:highlight w:val="none"/>
        </w:rPr>
      </w:pPr>
      <w:r>
        <w:rPr>
          <w:rStyle w:val="1116"/>
          <w:rFonts w:hint="eastAsia" w:ascii="宋体" w:hAnsi="宋体" w:cs="宋体"/>
          <w:b/>
          <w:bCs/>
          <w:color w:val="auto"/>
          <w:sz w:val="28"/>
          <w:szCs w:val="28"/>
          <w:highlight w:val="none"/>
        </w:rPr>
        <w:t xml:space="preserve">注：本项目采购的服务属于</w:t>
      </w:r>
      <w:r>
        <w:rPr>
          <w:rStyle w:val="1116"/>
          <w:rFonts w:hint="eastAsia" w:ascii="宋体" w:hAnsi="宋体" w:cs="宋体"/>
          <w:b/>
          <w:bCs/>
          <w:color w:val="auto"/>
          <w:sz w:val="28"/>
          <w:szCs w:val="28"/>
          <w:highlight w:val="none"/>
          <w:u w:val="single"/>
        </w:rPr>
        <w:t xml:space="preserve">其它未列明行业</w:t>
      </w:r>
      <w:r>
        <w:rPr>
          <w:rStyle w:val="1116"/>
          <w:rFonts w:hint="eastAsia" w:ascii="宋体" w:hAnsi="宋体" w:cs="宋体"/>
          <w:b/>
          <w:bCs/>
          <w:color w:val="auto"/>
          <w:sz w:val="28"/>
          <w:szCs w:val="28"/>
          <w:highlight w:val="none"/>
        </w:rPr>
        <w:t xml:space="preserve">。</w:t>
      </w:r>
      <w:r/>
    </w:p>
    <w:p>
      <w:pPr>
        <w:pStyle w:val="885"/>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85"/>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企业名称（电子签章）：</w:t>
      </w:r>
      <w:r/>
    </w:p>
    <w:p>
      <w:pPr>
        <w:pStyle w:val="885"/>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pStyle w:val="885"/>
        <w:ind w:left="0"/>
        <w:jc w:val="left"/>
        <w:spacing w:after="0"/>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85"/>
        <w:ind w:left="0"/>
        <w:jc w:val="left"/>
        <w:spacing w:after="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说明：</w:t>
      </w:r>
      <w:r/>
    </w:p>
    <w:p>
      <w:pPr>
        <w:pStyle w:val="885"/>
        <w:ind w:left="0"/>
        <w:spacing w:after="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85"/>
        <w:ind w:left="0"/>
        <w:spacing w:after="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2、从业人员、营业收入、资产总额填报供应商上一年度数据，无上一年度数据的新成立企业可不填报。</w:t>
      </w:r>
      <w:r/>
    </w:p>
    <w:p>
      <w:pPr>
        <w:pStyle w:val="885"/>
        <w:ind w:left="0"/>
        <w:spacing w:after="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885"/>
        <w:ind w:left="0"/>
        <w:spacing w:after="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4、执行江苏省财政厅关于进一步加大政府采购支持中小企业力度的通知（苏财购〔2022〕45号）的规定。</w:t>
      </w:r>
      <w:r/>
    </w:p>
    <w:p>
      <w:pPr>
        <w:pStyle w:val="885"/>
        <w:ind w:left="0"/>
        <w:spacing w:after="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5、供应商提供的《中小企业声明函》与事实不符的，依照《政府采购法》第七十七条第一款的规定追究法律责任。</w:t>
      </w:r>
      <w:r/>
    </w:p>
    <w:p>
      <w:pPr>
        <w:jc w:val="lef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69"/>
        <w:rPr>
          <w:rFonts w:ascii="宋体" w:hAnsi="宋体" w:cs="宋体"/>
          <w:color w:val="auto"/>
          <w:highlight w:val="none"/>
        </w:rPr>
      </w:pPr>
      <w:r>
        <w:rPr>
          <w:rFonts w:ascii="宋体" w:hAnsi="宋体" w:cs="宋体"/>
          <w:color w:val="auto"/>
          <w:highlight w:val="none"/>
        </w:rPr>
      </w:r>
      <w:r/>
    </w:p>
    <w:p>
      <w:pPr>
        <w:ind w:firstLine="60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366010" cy="3347720"/>
                <wp:effectExtent l="0" t="0" r="15240" b="5080"/>
                <wp:docPr id="7"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图片1"/>
                        <pic:cNvPicPr>
                          <a:picLocks noChangeAspect="1"/>
                        </pic:cNvPicPr>
                        <pic:nvPr/>
                      </pic:nvPicPr>
                      <pic:blipFill>
                        <a:blip r:embed="rId17"/>
                        <a:stretch/>
                      </pic:blipFill>
                      <pic:spPr bwMode="auto">
                        <a:xfrm>
                          <a:off x="0" y="0"/>
                          <a:ext cx="2366010" cy="3347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6.3pt;height:263.6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highlight w:val="none"/>
        </w:rPr>
        <w:br w:type="page" w:clear="all"/>
      </w:r>
      <w:r/>
    </w:p>
    <w:p>
      <w:pPr>
        <w:ind w:firstLine="600"/>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、残疾人福利性单位声明函格式</w:t>
      </w:r>
      <w:r/>
    </w:p>
    <w:p>
      <w:pPr>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（如投标人不属于残疾人福利性单位不需要提供此声明函）</w:t>
      </w:r>
      <w:r/>
    </w:p>
    <w:p>
      <w:pPr>
        <w:ind w:firstLine="624"/>
        <w:spacing w:line="479" w:lineRule="atLeast"/>
        <w:rPr>
          <w:rFonts w:ascii="宋体" w:hAnsi="宋体" w:cs="宋体"/>
          <w:color w:val="auto"/>
          <w:spacing w:val="6"/>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30"/>
          <w:highlight w:val="none"/>
        </w:rPr>
      </w:r>
      <w:r/>
    </w:p>
    <w:p>
      <w:pP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项目编号：</w:t>
      </w:r>
      <w:r/>
    </w:p>
    <w:p>
      <w:pP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项目名称：</w:t>
      </w:r>
      <w:r/>
    </w:p>
    <w:p>
      <w:pPr>
        <w:ind w:firstLine="624"/>
        <w:spacing w:line="360" w:lineRule="auto"/>
        <w:rPr>
          <w:rFonts w:ascii="宋体" w:hAnsi="宋体" w:cs="宋体"/>
          <w:color w:val="auto"/>
          <w:spacing w:val="6"/>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30"/>
          <w:highlight w:val="none"/>
        </w:rPr>
      </w:r>
      <w:r/>
    </w:p>
    <w:p>
      <w:pPr>
        <w:ind w:firstLine="624"/>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本单位郑重声明，根据《财政部 民政部 中国残疾人联合会关于促进残疾人就业政府采购政策的通知》（财库</w:t>
      </w:r>
      <w:r>
        <w:rPr>
          <w:rFonts w:hint="eastAsia" w:ascii="宋体" w:hAnsi="宋体" w:cs="宋体"/>
          <w:color w:val="auto"/>
          <w:sz w:val="30"/>
          <w:highlight w:val="none"/>
        </w:rPr>
        <w:t xml:space="preserve">〔2017〕 141</w:t>
      </w:r>
      <w:r>
        <w:rPr>
          <w:rFonts w:hint="eastAsia" w:ascii="宋体" w:hAnsi="宋体" w:cs="宋体"/>
          <w:color w:val="auto"/>
          <w:spacing w:val="6"/>
          <w:sz w:val="30"/>
          <w:highlight w:val="none"/>
        </w:rPr>
        <w:t xml:space="preserve">号）的规定，本单位为符合条件的残疾人福利性单位，且本单位参加</w:t>
      </w:r>
      <w:r>
        <w:rPr>
          <w:rFonts w:hint="eastAsia" w:ascii="宋体" w:hAnsi="宋体" w:cs="宋体"/>
          <w:color w:val="auto"/>
          <w:sz w:val="30"/>
          <w:highlight w:val="none"/>
        </w:rPr>
        <w:t xml:space="preserve">______</w:t>
      </w:r>
      <w:r>
        <w:rPr>
          <w:rFonts w:hint="eastAsia" w:ascii="宋体" w:hAnsi="宋体" w:cs="宋体"/>
          <w:color w:val="auto"/>
          <w:spacing w:val="6"/>
          <w:sz w:val="30"/>
          <w:highlight w:val="none"/>
        </w:rPr>
        <w:t xml:space="preserve">单位的</w:t>
      </w:r>
      <w:r>
        <w:rPr>
          <w:rFonts w:hint="eastAsia" w:ascii="宋体" w:hAnsi="宋体" w:cs="宋体"/>
          <w:color w:val="auto"/>
          <w:sz w:val="30"/>
          <w:highlight w:val="none"/>
        </w:rPr>
        <w:t xml:space="preserve">______</w:t>
      </w:r>
      <w:r>
        <w:rPr>
          <w:rFonts w:hint="eastAsia" w:ascii="宋体" w:hAnsi="宋体" w:cs="宋体"/>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本单位对上述声明的真实性负责。如有虚假，将依法承担相应责任。</w:t>
      </w:r>
      <w:r/>
    </w:p>
    <w:p>
      <w:pPr>
        <w:ind w:firstLine="624"/>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 </w:t>
      </w:r>
      <w:r/>
    </w:p>
    <w:p>
      <w:pPr>
        <w:ind w:firstLine="624"/>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30"/>
          <w:highlight w:val="none"/>
        </w:rPr>
        <w:t xml:space="preserve"> </w:t>
      </w:r>
      <w:r/>
    </w:p>
    <w:p>
      <w:pP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（电子签章）</w:t>
      </w:r>
      <w:r/>
    </w:p>
    <w:p>
      <w:pPr>
        <w:ind w:firstLine="450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jc w:val="center"/>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ind w:firstLine="600"/>
        <w:jc w:val="center"/>
        <w:spacing w:line="479" w:lineRule="atLeast"/>
        <w:rPr>
          <w:rFonts w:hint="eastAsia"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r>
      <w:r/>
    </w:p>
    <w:p>
      <w:pPr>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、投标人参加政府采购活动前3年内在经营活动中没有重大违法记录的书面声明格式</w:t>
      </w:r>
      <w:r/>
    </w:p>
    <w:p>
      <w:pPr>
        <w:ind w:firstLine="6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ind w:firstLine="60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我单位在参加</w:t>
      </w:r>
      <w:r>
        <w:rPr>
          <w:rFonts w:hint="eastAsia" w:ascii="宋体" w:hAnsi="宋体" w:cs="宋体"/>
          <w:color w:val="auto"/>
          <w:sz w:val="30"/>
          <w:highlight w:val="none"/>
          <w:u w:val="single"/>
          <w:lang w:eastAsia="zh-CN"/>
        </w:rPr>
        <w:t xml:space="preserve">云龙区居民小区生活垃圾分类服务项目</w:t>
      </w:r>
      <w:r>
        <w:rPr>
          <w:rFonts w:hint="eastAsia" w:ascii="宋体" w:hAnsi="宋体" w:cs="宋体"/>
          <w:color w:val="auto"/>
          <w:sz w:val="30"/>
          <w:highlight w:val="none"/>
        </w:rPr>
        <w:t xml:space="preserve">（项目编号：</w:t>
      </w:r>
      <w:r>
        <w:rPr>
          <w:rFonts w:hint="eastAsia" w:ascii="宋体" w:hAnsi="宋体" w:cs="宋体"/>
          <w:color w:val="auto"/>
          <w:sz w:val="30"/>
          <w:highlight w:val="none"/>
          <w:u w:val="single"/>
          <w:lang w:eastAsia="zh-CN"/>
        </w:rPr>
        <w:t xml:space="preserve">JSZC-320303-JSRM-G2025-0013</w:t>
      </w:r>
      <w:r>
        <w:rPr>
          <w:rFonts w:hint="eastAsia" w:ascii="宋体" w:hAnsi="宋体" w:cs="宋体"/>
          <w:color w:val="auto"/>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我单位对上述声明的真实性负责。如有虚假，将依法承担相应责任。</w:t>
      </w:r>
      <w:r/>
    </w:p>
    <w:p>
      <w:pP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投标人：</w:t>
      </w:r>
      <w:r>
        <w:rPr>
          <w:rFonts w:hint="eastAsia" w:ascii="宋体" w:hAnsi="宋体" w:cs="宋体"/>
          <w:color w:val="auto"/>
          <w:sz w:val="30"/>
          <w:highlight w:val="none"/>
          <w:u w:val="single"/>
        </w:rPr>
        <w:t xml:space="preserve">      </w:t>
      </w:r>
      <w:r>
        <w:rPr>
          <w:rFonts w:hint="eastAsia" w:ascii="宋体" w:hAnsi="宋体" w:cs="宋体"/>
          <w:color w:val="auto"/>
          <w:sz w:val="30"/>
          <w:highlight w:val="none"/>
        </w:rPr>
        <w:t xml:space="preserve">（电子签章）</w:t>
      </w:r>
      <w:r/>
    </w:p>
    <w:p>
      <w:pPr>
        <w:ind w:firstLine="4500"/>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p>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日期： 年  月  日</w:t>
      </w:r>
      <w:r/>
    </w:p>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jc w:val="center"/>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 </w:t>
      </w:r>
      <w:r/>
    </w:p>
    <w:p>
      <w:pPr>
        <w:ind w:firstLine="560"/>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八</w:t>
      </w:r>
      <w:r>
        <w:rPr>
          <w:rFonts w:hint="eastAsia" w:ascii="宋体" w:hAnsi="宋体" w:cs="宋体"/>
          <w:b/>
          <w:bCs/>
          <w:color w:val="auto"/>
          <w:sz w:val="32"/>
          <w:szCs w:val="32"/>
          <w:highlight w:val="none"/>
        </w:rPr>
        <w:t xml:space="preserve">、具备履行合同所必需的设备和专业技术能力的书面声明（附证明材料扫描件）格式（投标人可自行拟定）</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供应商郑重声明：投标人具备履行合同（项目名称：，项目编号： 所必需的设备和专业技术能力， 具体为：</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特此声明。</w:t>
      </w:r>
      <w:r/>
    </w:p>
    <w:p>
      <w:pPr>
        <w:spacing w:line="360" w:lineRule="auto"/>
        <w:rPr>
          <w:rFonts w:ascii="宋体" w:hAnsi="宋体" w:cs="宋体"/>
          <w:color w:val="auto"/>
          <w:spacing w:val="6"/>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jc w:val="left"/>
        <w:spacing w:line="38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873"/>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投标人（电子签章）：</w:t>
      </w:r>
      <w:r/>
    </w:p>
    <w:p>
      <w:pPr>
        <w:ind w:right="29"/>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p>
    <w:p>
      <w:pPr>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b/>
          <w:bCs/>
          <w:color w:val="auto"/>
          <w:sz w:val="32"/>
          <w:szCs w:val="32"/>
          <w:highlight w:val="none"/>
        </w:rPr>
      </w:r>
      <w:r/>
    </w:p>
    <w:p>
      <w:pPr>
        <w:ind w:firstLine="560"/>
        <w:jc w:val="center"/>
        <w:spacing w:line="479" w:lineRule="atLeast"/>
        <w:rPr>
          <w:rFonts w:hint="eastAsia" w:ascii="宋体" w:hAnsi="宋体" w:eastAsia="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lang w:val="en-US" w:eastAsia="zh-CN"/>
        </w:rPr>
        <w:t xml:space="preserve">九、联合体协议书（如有时）</w:t>
      </w:r>
      <w:r/>
    </w:p>
    <w:p>
      <w:pPr>
        <w:ind w:firstLine="560"/>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（所有成员单位名称）自愿组成</w:t>
      </w:r>
      <w:r>
        <w:rPr>
          <w:rFonts w:hint="eastAsia" w:ascii="宋体" w:hAnsi="宋体" w:eastAsia="宋体" w:cs="宋体"/>
          <w:color w:val="auto"/>
          <w:sz w:val="28"/>
          <w:szCs w:val="28"/>
          <w:highlight w:val="none"/>
          <w:u w:val="single"/>
          <w:lang w:val="en-US" w:eastAsia="zh-CN"/>
        </w:rPr>
        <w:t xml:space="preserve">（联合体名称）</w:t>
      </w:r>
      <w:r>
        <w:rPr>
          <w:rFonts w:hint="eastAsia" w:ascii="宋体" w:hAnsi="宋体" w:eastAsia="宋体" w:cs="宋体"/>
          <w:color w:val="auto"/>
          <w:sz w:val="28"/>
          <w:szCs w:val="28"/>
          <w:highlight w:val="none"/>
          <w:lang w:val="en-US" w:eastAsia="zh-CN"/>
        </w:rPr>
        <w:t xml:space="preserve">联合体，共同参加（项目名称）投标。现就联合体投标事宜订立如下协议。 </w:t>
      </w:r>
      <w:r/>
    </w:p>
    <w:p>
      <w:pPr>
        <w:ind w:firstLine="560"/>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1、（某成员单位名称）为</w:t>
      </w:r>
      <w:r>
        <w:rPr>
          <w:rFonts w:hint="eastAsia" w:ascii="宋体" w:hAnsi="宋体" w:eastAsia="宋体" w:cs="宋体"/>
          <w:color w:val="auto"/>
          <w:sz w:val="28"/>
          <w:szCs w:val="28"/>
          <w:highlight w:val="none"/>
          <w:u w:val="single"/>
          <w:lang w:val="en-US" w:eastAsia="zh-CN"/>
        </w:rPr>
        <w:t xml:space="preserve">（联合体名称）</w:t>
      </w:r>
      <w:r>
        <w:rPr>
          <w:rFonts w:hint="eastAsia" w:ascii="宋体" w:hAnsi="宋体" w:eastAsia="宋体" w:cs="宋体"/>
          <w:color w:val="auto"/>
          <w:sz w:val="28"/>
          <w:szCs w:val="28"/>
          <w:highlight w:val="none"/>
          <w:lang w:val="en-US" w:eastAsia="zh-CN"/>
        </w:rPr>
        <w:t xml:space="preserve">牵头人。 </w:t>
      </w:r>
      <w:r/>
    </w:p>
    <w:p>
      <w:pPr>
        <w:ind w:firstLine="560"/>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 </w:t>
      </w:r>
      <w:r/>
    </w:p>
    <w:p>
      <w:pPr>
        <w:ind w:firstLine="560"/>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3、联合体将严格按照招标文件的各项要求，递交投标文件，履行合同，并对外承担连带责任。 </w:t>
      </w:r>
      <w:r/>
    </w:p>
    <w:p>
      <w:pPr>
        <w:ind w:firstLine="560"/>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4、联合体各成员单位内部的职责分工如下</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 xml:space="preserve">。 </w:t>
      </w:r>
      <w:r/>
    </w:p>
    <w:p>
      <w:pPr>
        <w:ind w:firstLine="560"/>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5、本协议书自签署之日起生效，合同履行完毕后自动失效。 </w:t>
      </w:r>
      <w:r/>
    </w:p>
    <w:p>
      <w:pPr>
        <w:ind w:firstLine="560"/>
        <w:keepLines w:val="0"/>
        <w:keepNext w:val="0"/>
        <w:pageBreakBefore w:val="0"/>
        <w:spacing w:line="56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6、本协议书一式</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 xml:space="preserve">份，联合体成员和招标人各执一份。 </w:t>
      </w:r>
      <w:r/>
    </w:p>
    <w:p>
      <w:pPr>
        <w:pStyle w:val="886"/>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注：本协议书由委托代理人签字的，应附法定代表人签字的授权委托书。 </w:t>
      </w:r>
      <w:r/>
    </w:p>
    <w:p>
      <w:pPr>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牵头人名称：（盖单位章） </w:t>
      </w:r>
      <w:r/>
    </w:p>
    <w:p>
      <w:pPr>
        <w:keepLines w:val="0"/>
        <w:keepNext w:val="0"/>
        <w:pageBreakBefore w:val="0"/>
        <w:spacing w:line="560" w:lineRule="exac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法定代表人或其委托代理人：（签字） </w:t>
      </w:r>
      <w:r/>
    </w:p>
    <w:p>
      <w:pPr>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成员一名称：（盖单位章） </w:t>
      </w:r>
      <w:r/>
    </w:p>
    <w:p>
      <w:pPr>
        <w:keepLines w:val="0"/>
        <w:keepNext w:val="0"/>
        <w:pageBreakBefore w:val="0"/>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法定代表人或其委托代理人：（签字） </w:t>
      </w:r>
      <w:r/>
    </w:p>
    <w:p>
      <w:pPr>
        <w:jc w:val="right"/>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年  月  日</w:t>
      </w:r>
      <w:r/>
    </w:p>
    <w:p>
      <w:pPr>
        <w:ind w:firstLine="560"/>
        <w:jc w:val="center"/>
        <w:keepLines/>
        <w:keepNext/>
        <w:pageBreakBefore w:val="0"/>
        <w:spacing w:before="100" w:line="360" w:lineRule="auto"/>
        <w:widowControl w:val="off"/>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32"/>
          <w:szCs w:val="32"/>
          <w:highlight w:val="none"/>
          <w:lang w:val="en-US" w:eastAsia="zh-CN"/>
        </w:rPr>
        <w:t xml:space="preserve">十、联合体牵头人授权委托书（如有）</w:t>
      </w:r>
      <w:r/>
    </w:p>
    <w:p>
      <w:pPr>
        <w:ind w:firstLine="560"/>
        <w:jc w:val="left"/>
        <w:keepLines/>
        <w:keepNext/>
        <w:pageBreakBefore w:val="0"/>
        <w:spacing w:before="10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本授权书声明： 我</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 xml:space="preserve">（ 联合体成员单位的法人代表姓名） 系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none"/>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 xml:space="preserve">（联合体成员单位名称）法定代表人，现代表本公司授权</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（联合体牵头人单位名称）代表联合体各成员参加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项目（招标编号为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 xml:space="preserve">）的投标活动。</w:t>
      </w:r>
      <w:r/>
    </w:p>
    <w:p>
      <w:pPr>
        <w:ind w:firstLine="560"/>
        <w:jc w:val="left"/>
        <w:keepLines/>
        <w:keepNext/>
        <w:pageBreakBefore w:val="0"/>
        <w:spacing w:before="10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（联合体牵头人单位名称）被授权代表</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non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（联合体成员单位名称）承担责任和接受指示。在本次投标、中标后合同实施中（包括支付），所签署的一切文件和处理的一切有关事宜，联合体各成员单位均予以承认。</w:t>
      </w:r>
      <w:r/>
    </w:p>
    <w:p>
      <w:pPr>
        <w:ind w:firstLine="560"/>
        <w:jc w:val="left"/>
        <w:keepLines/>
        <w:keepNext/>
        <w:pageBreakBefore w:val="0"/>
        <w:spacing w:before="10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按合同条件联合体成员单位与联合体牵头人就本次投标、中标后的合同实施承担连带责任。</w:t>
      </w:r>
      <w:r/>
    </w:p>
    <w:p>
      <w:pPr>
        <w:ind w:firstLine="560"/>
        <w:jc w:val="left"/>
        <w:keepLines/>
        <w:keepNext/>
        <w:pageBreakBefore w:val="0"/>
        <w:spacing w:before="10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联合体牵头人名称：（公章）</w:t>
      </w:r>
      <w:r/>
    </w:p>
    <w:p>
      <w:pPr>
        <w:ind w:firstLine="560"/>
        <w:jc w:val="left"/>
        <w:keepLines/>
        <w:keepNext/>
        <w:pageBreakBefore w:val="0"/>
        <w:spacing w:before="10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联合体牵头人法人代表签字： （签字 ）</w:t>
      </w:r>
      <w:r/>
    </w:p>
    <w:p>
      <w:pPr>
        <w:ind w:firstLine="560"/>
        <w:jc w:val="left"/>
        <w:keepLines/>
        <w:keepNext/>
        <w:pageBreakBefore w:val="0"/>
        <w:spacing w:before="10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联合体成员名称： （公章）</w:t>
      </w:r>
      <w:r/>
    </w:p>
    <w:p>
      <w:pPr>
        <w:ind w:firstLine="560"/>
        <w:jc w:val="left"/>
        <w:keepLines/>
        <w:keepNext/>
        <w:pageBreakBefore w:val="0"/>
        <w:spacing w:before="10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联合体成员法人代表签字： （签字 ）</w:t>
      </w:r>
      <w:r/>
    </w:p>
    <w:p>
      <w:pPr>
        <w:pStyle w:val="911"/>
        <w:rPr>
          <w:color w:val="auto"/>
          <w:sz w:val="28"/>
          <w:szCs w:val="28"/>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日</w:t>
      </w:r>
      <w:r/>
    </w:p>
    <w:p>
      <w:pPr>
        <w:numPr>
          <w:ilvl w:val="0"/>
          <w:numId w:val="0"/>
        </w:numPr>
        <w:jc w:val="center"/>
        <w:spacing w:line="360" w:lineRule="auto"/>
        <w:widowControl w:val="off"/>
        <w:rPr>
          <w:rFonts w:hint="eastAsia" w:ascii="宋体" w:hAnsi="宋体" w:eastAsia="宋体" w:cs="Times New Roman"/>
          <w:color w:val="auto"/>
          <w:sz w:val="28"/>
          <w:szCs w:val="28"/>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十一、</w:t>
      </w:r>
      <w:r>
        <w:rPr>
          <w:rFonts w:hint="eastAsia" w:ascii="Times New Roman" w:hAnsi="Times New Roman" w:eastAsia="宋体" w:cs="Times New Roman"/>
          <w:b/>
          <w:bCs/>
          <w:color w:val="auto"/>
          <w:sz w:val="32"/>
          <w:szCs w:val="32"/>
          <w:highlight w:val="none"/>
          <w:lang w:val="en-US" w:eastAsia="zh-CN" w:bidi="ar-SA"/>
        </w:rPr>
        <w:t xml:space="preserve">“中标后作业人员配置”的承诺函</w:t>
      </w:r>
      <w:r/>
    </w:p>
    <w:p>
      <w:pPr>
        <w:numPr>
          <w:ilvl w:val="0"/>
          <w:numId w:val="0"/>
        </w:numPr>
        <w:jc w:val="both"/>
        <w:spacing w:after="120"/>
        <w:widowControl w:val="off"/>
        <w:rPr>
          <w:rFonts w:hint="eastAsia" w:ascii="Calibri" w:hAnsi="Calibri" w:eastAsia="宋体" w:cs="Times New Roman"/>
          <w:color w:val="auto"/>
          <w:sz w:val="21"/>
          <w:szCs w:val="24"/>
          <w:highlight w:val="none"/>
          <w:lang w:val="en-US" w:eastAsia="zh-CN" w:bidi="ar-SA"/>
        </w:rPr>
      </w:pPr>
      <w:r>
        <w:rPr>
          <w:rFonts w:hint="eastAsia" w:ascii="Calibri" w:hAnsi="Calibri" w:eastAsia="宋体" w:cs="Times New Roman"/>
          <w:color w:val="auto"/>
          <w:sz w:val="21"/>
          <w:szCs w:val="24"/>
          <w:highlight w:val="none"/>
          <w:lang w:val="en-US" w:eastAsia="zh-CN" w:bidi="ar-SA"/>
        </w:rPr>
      </w:r>
      <w:r/>
    </w:p>
    <w:p>
      <w:pPr>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jc w:val="center"/>
        <w:spacing w:after="120" w:line="24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格式自拟（具体要求详见招标文件“采购需求”）</w:t>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ind w:firstLine="0"/>
        <w:jc w:val="center"/>
        <w:spacing w:line="360" w:lineRule="atLeast"/>
        <w:widowControl/>
        <w:rPr>
          <w:rFonts w:hint="default"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r>
      <w:r/>
    </w:p>
    <w:p>
      <w:pPr>
        <w:spacing w:after="0" w:line="240" w:lineRule="auto"/>
        <w:rPr>
          <w:rFonts w:ascii="Times New Roman" w:hAnsi="宋体" w:eastAsia="宋体" w:cs="Times New Roman"/>
          <w:color w:val="auto"/>
          <w:sz w:val="28"/>
          <w:szCs w:val="28"/>
          <w:highlight w:val="none"/>
        </w:rPr>
      </w:pPr>
      <w:r>
        <w:rPr>
          <w:rFonts w:ascii="Times New Roman" w:hAnsi="宋体" w:eastAsia="宋体" w:cs="Times New Roman"/>
          <w:color w:val="auto"/>
          <w:sz w:val="28"/>
          <w:szCs w:val="28"/>
          <w:highlight w:val="none"/>
        </w:rPr>
      </w:r>
      <w:r/>
    </w:p>
    <w:p>
      <w:pPr>
        <w:ind w:left="256" w:right="6" w:firstLine="624"/>
        <w:jc w:val="both"/>
        <w:widowControl w:val="off"/>
        <w:rPr>
          <w:rFonts w:hint="default" w:ascii="Arial" w:hAnsi="宋体" w:eastAsia="仿宋" w:cs="Times New Roman"/>
          <w:color w:val="auto"/>
          <w:sz w:val="28"/>
          <w:szCs w:val="28"/>
          <w:highlight w:val="none"/>
          <w:lang w:val="en-US" w:eastAsia="zh-CN" w:bidi="ar-SA"/>
        </w:rPr>
      </w:pPr>
      <w:r>
        <w:rPr>
          <w:rFonts w:hint="default" w:ascii="Arial" w:hAnsi="宋体" w:eastAsia="仿宋" w:cs="Times New Roman"/>
          <w:color w:val="auto"/>
          <w:sz w:val="28"/>
          <w:szCs w:val="28"/>
          <w:highlight w:val="none"/>
          <w:lang w:val="en-US" w:eastAsia="zh-CN" w:bidi="ar-SA"/>
        </w:rPr>
      </w:r>
      <w:r/>
    </w:p>
    <w:p>
      <w:pPr>
        <w:ind w:left="256" w:right="6" w:firstLine="624"/>
        <w:jc w:val="both"/>
        <w:widowControl w:val="off"/>
        <w:rPr>
          <w:rFonts w:hint="default" w:ascii="Arial" w:hAnsi="宋体" w:eastAsia="仿宋" w:cs="Times New Roman"/>
          <w:color w:val="auto"/>
          <w:sz w:val="28"/>
          <w:szCs w:val="28"/>
          <w:highlight w:val="none"/>
          <w:lang w:val="en-US" w:eastAsia="zh-CN" w:bidi="ar-SA"/>
        </w:rPr>
      </w:pPr>
      <w:r>
        <w:rPr>
          <w:rFonts w:hint="default" w:ascii="Arial" w:hAnsi="宋体" w:eastAsia="仿宋" w:cs="Times New Roman"/>
          <w:color w:val="auto"/>
          <w:sz w:val="28"/>
          <w:szCs w:val="28"/>
          <w:highlight w:val="none"/>
          <w:lang w:val="en-US" w:eastAsia="zh-CN" w:bidi="ar-SA"/>
        </w:rPr>
      </w:r>
      <w:r/>
    </w:p>
    <w:p>
      <w:pPr>
        <w:ind w:left="256" w:right="6" w:firstLine="624"/>
        <w:jc w:val="both"/>
        <w:widowControl w:val="off"/>
        <w:rPr>
          <w:rFonts w:hint="default" w:ascii="Arial" w:hAnsi="宋体" w:eastAsia="仿宋" w:cs="Times New Roman"/>
          <w:color w:val="auto"/>
          <w:sz w:val="28"/>
          <w:szCs w:val="28"/>
          <w:highlight w:val="none"/>
          <w:lang w:val="en-US" w:eastAsia="zh-CN" w:bidi="ar-SA"/>
        </w:rPr>
      </w:pPr>
      <w:r>
        <w:rPr>
          <w:rFonts w:hint="default" w:ascii="Arial" w:hAnsi="宋体" w:eastAsia="仿宋" w:cs="Times New Roman"/>
          <w:color w:val="auto"/>
          <w:sz w:val="28"/>
          <w:szCs w:val="28"/>
          <w:highlight w:val="none"/>
          <w:lang w:val="en-US" w:eastAsia="zh-CN" w:bidi="ar-SA"/>
        </w:rPr>
      </w:r>
      <w:r/>
    </w:p>
    <w:p>
      <w:pPr>
        <w:ind w:left="256" w:right="6" w:firstLine="624"/>
        <w:jc w:val="both"/>
        <w:widowControl w:val="off"/>
        <w:rPr>
          <w:rFonts w:hint="default" w:ascii="Arial" w:hAnsi="宋体" w:eastAsia="仿宋" w:cs="Times New Roman"/>
          <w:color w:val="auto"/>
          <w:sz w:val="28"/>
          <w:szCs w:val="28"/>
          <w:highlight w:val="none"/>
          <w:lang w:val="en-US" w:eastAsia="zh-CN" w:bidi="ar-SA"/>
        </w:rPr>
      </w:pPr>
      <w:r>
        <w:rPr>
          <w:rFonts w:hint="default" w:ascii="Arial" w:hAnsi="宋体" w:eastAsia="仿宋" w:cs="Times New Roman"/>
          <w:color w:val="auto"/>
          <w:sz w:val="28"/>
          <w:szCs w:val="28"/>
          <w:highlight w:val="none"/>
          <w:lang w:val="en-US" w:eastAsia="zh-CN" w:bidi="ar-SA"/>
        </w:rPr>
      </w:r>
      <w:r/>
    </w:p>
    <w:p>
      <w:pPr>
        <w:ind w:left="256" w:right="6" w:firstLine="624"/>
        <w:jc w:val="both"/>
        <w:widowControl w:val="off"/>
        <w:rPr>
          <w:rFonts w:hint="default" w:ascii="Arial" w:hAnsi="宋体" w:eastAsia="仿宋" w:cs="Times New Roman"/>
          <w:color w:val="auto"/>
          <w:sz w:val="28"/>
          <w:szCs w:val="28"/>
          <w:highlight w:val="none"/>
          <w:lang w:val="en-US" w:eastAsia="zh-CN" w:bidi="ar-SA"/>
        </w:rPr>
      </w:pPr>
      <w:r>
        <w:rPr>
          <w:rFonts w:hint="default" w:ascii="Arial" w:hAnsi="宋体" w:eastAsia="仿宋" w:cs="Times New Roman"/>
          <w:color w:val="auto"/>
          <w:sz w:val="28"/>
          <w:szCs w:val="28"/>
          <w:highlight w:val="none"/>
          <w:lang w:val="en-US" w:eastAsia="zh-CN" w:bidi="ar-SA"/>
        </w:rPr>
      </w:r>
      <w:r/>
    </w:p>
    <w:p>
      <w:pPr>
        <w:numPr>
          <w:ilvl w:val="0"/>
          <w:numId w:val="0"/>
        </w:numPr>
        <w:jc w:val="center"/>
        <w:spacing w:after="0" w:line="360" w:lineRule="auto"/>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十二、“中标后车辆配置”的承诺函</w:t>
      </w:r>
      <w:r/>
    </w:p>
    <w:p>
      <w:pPr>
        <w:numPr>
          <w:ilvl w:val="0"/>
          <w:numId w:val="0"/>
        </w:numPr>
        <w:jc w:val="both"/>
        <w:spacing w:after="120" w:line="24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jc w:val="both"/>
        <w:spacing w:after="0" w:line="24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jc w:val="center"/>
        <w:spacing w:after="120"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t xml:space="preserve">格式自拟（具体要求详见招标文件“采购需求”）</w:t>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hint="eastAsia" w:ascii="宋体"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r>
      <w:r/>
    </w:p>
    <w:p>
      <w:pPr>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highlight w:val="none"/>
          <w:lang w:val="en-US" w:eastAsia="zh-CN"/>
        </w:rPr>
        <w:t xml:space="preserve">十一</w:t>
      </w:r>
      <w:r>
        <w:rPr>
          <w:rFonts w:hint="eastAsia" w:ascii="宋体" w:hAnsi="宋体" w:cs="宋体"/>
          <w:b/>
          <w:bCs/>
          <w:color w:val="auto"/>
          <w:sz w:val="32"/>
          <w:szCs w:val="32"/>
          <w:highlight w:val="none"/>
        </w:rPr>
        <w:t xml:space="preserve">、预付款保函支付条款模板</w:t>
      </w:r>
      <w:r/>
    </w:p>
    <w:p>
      <w:pPr>
        <w:pStyle w:val="877"/>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pStyle w:val="877"/>
        <w:ind w:firstLine="602"/>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pStyle w:val="877"/>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pStyle w:val="877"/>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pStyle w:val="877"/>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pStyle w:val="877"/>
        <w:ind w:firstLine="60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pStyle w:val="877"/>
        <w:ind w:firstLine="602"/>
        <w:spacing w:line="48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pStyle w:val="877"/>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pStyle w:val="877"/>
        <w:ind w:left="140" w:firstLine="602"/>
        <w:spacing w:line="48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605"/>
        <w:spacing w:line="479" w:lineRule="atLeast"/>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r>
      <w:r/>
    </w:p>
    <w:p>
      <w:pPr>
        <w:ind w:firstLine="605"/>
        <w:spacing w:line="288" w:lineRule="auto"/>
        <w:rPr>
          <w:rFonts w:ascii="宋体" w:hAnsi="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w:t>
      </w:r>
      <w:r/>
    </w:p>
    <w:p>
      <w:pPr>
        <w:ind w:left="140" w:firstLine="605"/>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highlight w:val="none"/>
        </w:rPr>
        <w:t xml:space="preserve">注:</w:t>
      </w:r>
      <w:r/>
    </w:p>
    <w:p>
      <w:pPr>
        <w:ind w:left="140" w:firstLine="602"/>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1、付款条件一中，出具预付款保函后支付的合同款应当与保函金额一致。</w:t>
      </w:r>
      <w:r/>
    </w:p>
    <w:p>
      <w:pPr>
        <w:ind w:left="140" w:firstLine="602"/>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2、付款条件二中，预付款比例设定应符合《关于做好政府采购支持企业发展有关事项的通知》(苏财购〔2020〕52号)要求。</w:t>
      </w:r>
      <w:r>
        <w:rPr>
          <w:rFonts w:hint="eastAsia" w:ascii="宋体" w:hAnsi="宋体" w:cs="宋体"/>
          <w:color w:val="auto"/>
          <w:sz w:val="22"/>
          <w:highlight w:val="none"/>
        </w:rPr>
        <w:t xml:space="preserve"> </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Cambria">
    <w:panose1 w:val="02040503050406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1366" cy="253844"/>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181365" cy="2538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3pt;height:20.0pt;mso-wrap-distance-left:9.0pt;mso-wrap-distance-top:0.0pt;mso-wrap-distance-right:9.0pt;mso-wrap-distance-bottom:0.0pt;v-text-anchor:top;visibility:visible;" filled="f" stroked="f" strokeweight="0.50pt">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27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116"/>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22</w:t>
                    </w:r>
                    <w:r>
                      <w:rPr>
                        <w:rFonts w:hint="eastAsia"/>
                      </w:rPr>
                      <w:fldChar w:fldCharType="end"/>
                    </w:r>
                    <w:r/>
                  </w:p>
                </w:txbxContent>
              </v:textbox>
            </v:shape>
          </w:pict>
        </mc:Fallback>
      </mc:AlternateContent>
    </w:r>
    <w:r>
      <w:rPr>
        <w:rStyle w:val="1116"/>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rPr>
                              <w:rStyle w:val="1116"/>
                            </w:rPr>
                          </w:pPr>
                          <w:r/>
                          <w:r/>
                        </w:p>
                        <w:p>
                          <w:pPr>
                            <w:rPr>
                              <w:rStyle w:val="1116"/>
                            </w:rPr>
                          </w:pPr>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rPr>
                        <w:rStyle w:val="1116"/>
                      </w:rPr>
                    </w:pPr>
                    <w:r/>
                    <w:r/>
                  </w:p>
                  <w:p>
                    <w:pPr>
                      <w:rPr>
                        <w:rStyle w:val="1116"/>
                      </w:rPr>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1116"/>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21</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21</w:t>
                    </w:r>
                    <w:r>
                      <w:rPr>
                        <w:rFonts w:hint="eastAsia"/>
                      </w:rPr>
                      <w:fldChar w:fldCharType="end"/>
                    </w:r>
                    <w:r/>
                  </w:p>
                </w:txbxContent>
              </v:textbox>
            </v:shape>
          </w:pict>
        </mc:Fallback>
      </mc:AlternateContent>
    </w:r>
    <w:r>
      <w:rPr>
        <w:rStyle w:val="11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3"/>
                            <w:rPr>
                              <w:rStyle w:val="1116"/>
                            </w:rPr>
                          </w:pPr>
                          <w:r/>
                          <w:r/>
                        </w:p>
                        <w:p>
                          <w:pPr>
                            <w:rPr>
                              <w:rStyle w:val="1116"/>
                            </w:rPr>
                          </w:pPr>
                          <w:r/>
                          <w:r/>
                        </w:p>
                      </w:txbxContent>
                    </wps:txbx>
                    <wps:bodyPr wrap="square" lIns="0" tIns="0" rIns="0" bIns="0" upright="1"/>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3"/>
                      <w:rPr>
                        <w:rStyle w:val="1116"/>
                      </w:rPr>
                    </w:pPr>
                    <w:r/>
                    <w:r/>
                  </w:p>
                  <w:p>
                    <w:pPr>
                      <w:rPr>
                        <w:rStyle w:val="1116"/>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1812" cy="253844"/>
              <wp:effectExtent l="3175" t="3175" r="3175" b="3175"/>
              <wp:wrapNone/>
              <wp:docPr id="6" name="文本框 8"/>
              <wp:cNvGraphicFramePr/>
              <a:graphic xmlns:a="http://schemas.openxmlformats.org/drawingml/2006/main">
                <a:graphicData uri="http://schemas.microsoft.com/office/word/2010/wordprocessingShape">
                  <wps:wsp>
                    <wps:cNvPr id="0" name=""/>
                    <wps:cNvSpPr txBox="1"/>
                    <wps:spPr bwMode="auto">
                      <a:xfrm flipH="0" flipV="0">
                        <a:off x="0" y="0"/>
                        <a:ext cx="241812" cy="2538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9.0pt;height:20.0pt;mso-wrap-distance-left:9.0pt;mso-wrap-distance-top:0.0pt;mso-wrap-distance-right:9.0pt;mso-wrap-distance-bottom:0.0pt;v-text-anchor:top;visibility:visible;" filled="f" stroked="f" strokeweight="0.50pt">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right"/>
      <w:pBdr>
        <w:bottom w:val="single" w:color="auto" w:sz="4" w:space="0"/>
      </w:pBdr>
    </w:pPr>
    <w:r>
      <w:rPr>
        <w:rFonts w:hint="eastAsia"/>
        <w:lang w:eastAsia="zh-CN"/>
      </w:rPr>
      <w:t xml:space="preserve">云龙区居民小区生活垃圾分类服务项目</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rPr>
        <w:rStyle w:val="1116"/>
      </w:rPr>
      <w:pBdr>
        <w:bottom w:val="none" w:color="000000" w:sz="0" w:space="1"/>
      </w:pBdr>
    </w:pPr>
    <w:r>
      <w:rPr>
        <w:rStyle w:val="1116"/>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sz w:val="18"/>
        <w:lang w:eastAsia="zh-CN"/>
      </w:rPr>
      <w:t xml:space="preserve">云龙区居民小区生活垃圾分类服务项目</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320" w:hanging="360"/>
      </w:pPr>
      <w:rPr>
        <w:rFonts w:hint="default"/>
      </w:rPr>
    </w:lvl>
    <w:lvl w:ilvl="1">
      <w:start w:val="1"/>
      <w:numFmt w:val="lowerLetter"/>
      <w:isLgl w:val="false"/>
      <w:suff w:val="tab"/>
      <w:lvlText w:val="%2)"/>
      <w:lvlJc w:val="left"/>
      <w:pPr>
        <w:ind w:left="1840" w:hanging="440"/>
      </w:pPr>
    </w:lvl>
    <w:lvl w:ilvl="2">
      <w:start w:val="1"/>
      <w:numFmt w:val="lowerRoman"/>
      <w:isLgl w:val="false"/>
      <w:suff w:val="tab"/>
      <w:lvlText w:val="%3."/>
      <w:lvlJc w:val="right"/>
      <w:pPr>
        <w:ind w:left="2280" w:hanging="440"/>
      </w:pPr>
    </w:lvl>
    <w:lvl w:ilvl="3">
      <w:start w:val="1"/>
      <w:numFmt w:val="decimal"/>
      <w:isLgl w:val="false"/>
      <w:suff w:val="tab"/>
      <w:lvlText w:val="%4."/>
      <w:lvlJc w:val="left"/>
      <w:pPr>
        <w:ind w:left="2720" w:hanging="440"/>
      </w:pPr>
    </w:lvl>
    <w:lvl w:ilvl="4">
      <w:start w:val="1"/>
      <w:numFmt w:val="lowerLetter"/>
      <w:isLgl w:val="false"/>
      <w:suff w:val="tab"/>
      <w:lvlText w:val="%5)"/>
      <w:lvlJc w:val="left"/>
      <w:pPr>
        <w:ind w:left="3160" w:hanging="440"/>
      </w:pPr>
    </w:lvl>
    <w:lvl w:ilvl="5">
      <w:start w:val="1"/>
      <w:numFmt w:val="lowerRoman"/>
      <w:isLgl w:val="false"/>
      <w:suff w:val="tab"/>
      <w:lvlText w:val="%6."/>
      <w:lvlJc w:val="right"/>
      <w:pPr>
        <w:ind w:left="3600" w:hanging="440"/>
      </w:pPr>
    </w:lvl>
    <w:lvl w:ilvl="6">
      <w:start w:val="1"/>
      <w:numFmt w:val="decimal"/>
      <w:isLgl w:val="false"/>
      <w:suff w:val="tab"/>
      <w:lvlText w:val="%7."/>
      <w:lvlJc w:val="left"/>
      <w:pPr>
        <w:ind w:left="4040" w:hanging="440"/>
      </w:pPr>
    </w:lvl>
    <w:lvl w:ilvl="7">
      <w:start w:val="1"/>
      <w:numFmt w:val="lowerLetter"/>
      <w:isLgl w:val="false"/>
      <w:suff w:val="tab"/>
      <w:lvlText w:val="%8)"/>
      <w:lvlJc w:val="left"/>
      <w:pPr>
        <w:ind w:left="4480" w:hanging="440"/>
      </w:pPr>
    </w:lvl>
    <w:lvl w:ilvl="8">
      <w:start w:val="1"/>
      <w:numFmt w:val="lowerRoman"/>
      <w:isLgl w:val="false"/>
      <w:suff w:val="tab"/>
      <w:lvlText w:val="%9."/>
      <w:lvlJc w:val="right"/>
      <w:pPr>
        <w:ind w:left="492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default="1">
    <w:name w:val="Normal"/>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57">
    <w:name w:val="Heading 1"/>
    <w:basedOn w:val="856"/>
    <w:next w:val="856"/>
    <w:link w:val="971"/>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9">
    <w:name w:val="Heading 3"/>
    <w:basedOn w:val="856"/>
    <w:next w:val="856"/>
    <w:link w:val="973"/>
    <w:uiPriority w:val="9"/>
    <w:unhideWhenUsed/>
    <w:qFormat/>
    <w:pPr>
      <w:keepLines/>
      <w:keepNext/>
      <w:spacing w:before="320" w:after="200"/>
      <w:outlineLvl w:val="2"/>
    </w:pPr>
    <w:rPr>
      <w:rFonts w:ascii="Arial" w:hAnsi="Arial" w:eastAsia="Arial" w:cs="Arial"/>
      <w:sz w:val="30"/>
      <w:szCs w:val="30"/>
    </w:rPr>
  </w:style>
  <w:style w:type="paragraph" w:styleId="860">
    <w:name w:val="Heading 4"/>
    <w:basedOn w:val="856"/>
    <w:next w:val="856"/>
    <w:link w:val="974"/>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75"/>
    <w:uiPriority w:val="9"/>
    <w:unhideWhenUsed/>
    <w:qFormat/>
    <w:pPr>
      <w:keepLines/>
      <w:keepNext/>
      <w:spacing w:before="320" w:after="200"/>
      <w:outlineLvl w:val="4"/>
    </w:pPr>
    <w:rPr>
      <w:rFonts w:ascii="Arial" w:hAnsi="Arial" w:eastAsia="Arial" w:cs="Arial"/>
      <w:b/>
      <w:bCs/>
      <w:sz w:val="24"/>
    </w:rPr>
  </w:style>
  <w:style w:type="paragraph" w:styleId="862">
    <w:name w:val="Heading 6"/>
    <w:basedOn w:val="856"/>
    <w:next w:val="856"/>
    <w:link w:val="976"/>
    <w:uiPriority w:val="9"/>
    <w:unhideWhenUsed/>
    <w:qFormat/>
    <w:pPr>
      <w:keepLines/>
      <w:keepNext/>
      <w:spacing w:before="320" w:after="200"/>
      <w:outlineLvl w:val="5"/>
    </w:pPr>
    <w:rPr>
      <w:rFonts w:ascii="Arial" w:hAnsi="Arial" w:eastAsia="Arial" w:cs="Arial"/>
      <w:b/>
      <w:bCs/>
      <w:sz w:val="22"/>
      <w:szCs w:val="22"/>
    </w:rPr>
  </w:style>
  <w:style w:type="paragraph" w:styleId="863">
    <w:name w:val="Heading 7"/>
    <w:basedOn w:val="856"/>
    <w:next w:val="856"/>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864">
    <w:name w:val="Heading 8"/>
    <w:basedOn w:val="856"/>
    <w:next w:val="856"/>
    <w:link w:val="978"/>
    <w:uiPriority w:val="9"/>
    <w:unhideWhenUsed/>
    <w:qFormat/>
    <w:pPr>
      <w:keepLines/>
      <w:keepNext/>
      <w:spacing w:before="320" w:after="200"/>
      <w:outlineLvl w:val="7"/>
    </w:pPr>
    <w:rPr>
      <w:rFonts w:ascii="Arial" w:hAnsi="Arial" w:eastAsia="Arial" w:cs="Arial"/>
      <w:i/>
      <w:iCs/>
      <w:sz w:val="22"/>
      <w:szCs w:val="22"/>
    </w:rPr>
  </w:style>
  <w:style w:type="paragraph" w:styleId="865">
    <w:name w:val="Heading 9"/>
    <w:basedOn w:val="856"/>
    <w:next w:val="856"/>
    <w:link w:val="979"/>
    <w:uiPriority w:val="9"/>
    <w:unhideWhenUsed/>
    <w:qFormat/>
    <w:pPr>
      <w:keepLines/>
      <w:keepNext/>
      <w:spacing w:before="320" w:after="200"/>
      <w:outlineLvl w:val="8"/>
    </w:pPr>
    <w:rPr>
      <w:rFonts w:ascii="Arial" w:hAnsi="Arial" w:eastAsia="Arial" w:cs="Arial"/>
      <w:i/>
      <w:iCs/>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toc 7"/>
    <w:basedOn w:val="856"/>
    <w:next w:val="856"/>
    <w:uiPriority w:val="39"/>
    <w:unhideWhenUsed/>
    <w:qFormat/>
    <w:pPr>
      <w:ind w:left="1701"/>
      <w:spacing w:after="57"/>
    </w:pPr>
  </w:style>
  <w:style w:type="paragraph" w:styleId="869">
    <w:name w:val="Normal Indent"/>
    <w:basedOn w:val="856"/>
    <w:uiPriority w:val="0"/>
    <w:qFormat/>
    <w:pPr>
      <w:ind w:firstLine="420"/>
    </w:pPr>
  </w:style>
  <w:style w:type="paragraph" w:styleId="870">
    <w:name w:val="Caption"/>
    <w:basedOn w:val="856"/>
    <w:next w:val="856"/>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871">
    <w:name w:val="index 5"/>
    <w:basedOn w:val="856"/>
    <w:next w:val="856"/>
    <w:uiPriority w:val="0"/>
    <w:qFormat/>
    <w:pPr>
      <w:ind w:left="798"/>
      <w:jc w:val="left"/>
    </w:pPr>
    <w:rPr>
      <w:rFonts w:ascii="Calibri" w:hAnsi="Calibri"/>
    </w:rPr>
  </w:style>
  <w:style w:type="paragraph" w:styleId="872">
    <w:name w:val="annotation text"/>
    <w:basedOn w:val="856"/>
    <w:link w:val="1124"/>
    <w:uiPriority w:val="0"/>
    <w:qFormat/>
    <w:pPr>
      <w:jc w:val="left"/>
    </w:pPr>
  </w:style>
  <w:style w:type="paragraph" w:styleId="873">
    <w:name w:val="Body Text"/>
    <w:basedOn w:val="856"/>
    <w:next w:val="874"/>
    <w:uiPriority w:val="99"/>
    <w:qFormat/>
    <w:pPr>
      <w:spacing w:after="120"/>
    </w:pPr>
    <w:rPr>
      <w:rFonts w:ascii="Calibri" w:hAnsi="Calibri"/>
    </w:rPr>
  </w:style>
  <w:style w:type="paragraph" w:styleId="874" w:customStyle="1">
    <w:name w:val="一级条标题"/>
    <w:basedOn w:val="875"/>
    <w:next w:val="876"/>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875" w:customStyle="1">
    <w:name w:val="章标题"/>
    <w:next w:val="856"/>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876" w:customStyle="1">
    <w:name w:val="段"/>
    <w:basedOn w:val="877"/>
    <w:next w:val="856"/>
    <w:uiPriority w:val="0"/>
    <w:qFormat/>
    <w:pPr>
      <w:ind w:firstLine="200"/>
      <w:widowControl/>
    </w:pPr>
    <w:rPr>
      <w:sz w:val="20"/>
    </w:rPr>
  </w:style>
  <w:style w:type="paragraph" w:styleId="877" w:customStyle="1">
    <w:name w:val="正文1"/>
    <w:basedOn w:val="878"/>
    <w:next w:val="879"/>
    <w:uiPriority w:val="0"/>
    <w:qFormat/>
    <w:pPr>
      <w:jc w:val="left"/>
      <w:spacing w:line="360" w:lineRule="atLeast"/>
    </w:pPr>
    <w:rPr>
      <w:rFonts w:ascii="宋体" w:hAnsi="Calibri"/>
      <w:sz w:val="24"/>
      <w:szCs w:val="20"/>
    </w:rPr>
  </w:style>
  <w:style w:type="paragraph" w:styleId="878" w:customStyle="1">
    <w:name w:val="正文111"/>
    <w:next w:val="879"/>
    <w:link w:val="1116"/>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79" w:customStyle="1">
    <w:name w:val="正文文本1"/>
    <w:basedOn w:val="880"/>
    <w:next w:val="882"/>
    <w:uiPriority w:val="0"/>
    <w:qFormat/>
    <w:pPr>
      <w:spacing w:after="120"/>
    </w:pPr>
  </w:style>
  <w:style w:type="paragraph" w:styleId="880" w:customStyle="1">
    <w:name w:val="正文11"/>
    <w:next w:val="881"/>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81" w:customStyle="1">
    <w:name w:val="正文文本 21"/>
    <w:basedOn w:val="878"/>
    <w:uiPriority w:val="0"/>
    <w:qFormat/>
    <w:pPr>
      <w:jc w:val="center"/>
      <w:widowControl/>
    </w:pPr>
    <w:rPr>
      <w:rFonts w:ascii="楷体_GB2312" w:eastAsia="楷体_GB2312"/>
      <w:sz w:val="28"/>
      <w:szCs w:val="28"/>
    </w:rPr>
  </w:style>
  <w:style w:type="paragraph" w:styleId="882" w:customStyle="1">
    <w:name w:val="正文12"/>
    <w:next w:val="883"/>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83" w:customStyle="1">
    <w:name w:val="正文文本111"/>
    <w:basedOn w:val="884"/>
    <w:next w:val="882"/>
    <w:uiPriority w:val="0"/>
    <w:qFormat/>
    <w:pPr>
      <w:spacing w:after="120"/>
    </w:pPr>
  </w:style>
  <w:style w:type="paragraph" w:styleId="884" w:customStyle="1">
    <w:name w:val="正文1121"/>
    <w:next w:val="883"/>
    <w:uiPriority w:val="0"/>
    <w:qFormat/>
    <w:pPr>
      <w:jc w:val="both"/>
      <w:widowControl w:val="off"/>
    </w:pPr>
    <w:rPr>
      <w:rFonts w:hint="default" w:ascii="Calibri" w:hAnsi="Calibri" w:eastAsia="宋体" w:cs="Times New Roman"/>
      <w:sz w:val="21"/>
      <w:szCs w:val="24"/>
      <w:lang w:val="en-US" w:eastAsia="zh-CN" w:bidi="ar-SA"/>
    </w:rPr>
  </w:style>
  <w:style w:type="paragraph" w:styleId="885">
    <w:name w:val="Body Text Indent"/>
    <w:basedOn w:val="856"/>
    <w:uiPriority w:val="0"/>
    <w:qFormat/>
    <w:pPr>
      <w:ind w:left="420"/>
      <w:spacing w:after="120"/>
    </w:pPr>
    <w:rPr>
      <w:rFonts w:ascii="Calibri" w:hAnsi="Calibri"/>
    </w:rPr>
  </w:style>
  <w:style w:type="paragraph" w:styleId="886">
    <w:name w:val="Block Text"/>
    <w:basedOn w:val="856"/>
    <w:uiPriority w:val="99"/>
    <w:unhideWhenUsed/>
    <w:qFormat/>
    <w:pPr>
      <w:ind w:left="1440" w:right="1440"/>
      <w:spacing w:after="120"/>
    </w:pPr>
  </w:style>
  <w:style w:type="paragraph" w:styleId="887">
    <w:name w:val="toc 5"/>
    <w:basedOn w:val="856"/>
    <w:next w:val="856"/>
    <w:uiPriority w:val="39"/>
    <w:unhideWhenUsed/>
    <w:qFormat/>
    <w:pPr>
      <w:ind w:left="1134"/>
      <w:spacing w:after="57"/>
    </w:pPr>
  </w:style>
  <w:style w:type="paragraph" w:styleId="888">
    <w:name w:val="toc 3"/>
    <w:basedOn w:val="856"/>
    <w:next w:val="856"/>
    <w:uiPriority w:val="39"/>
    <w:unhideWhenUsed/>
    <w:qFormat/>
    <w:pPr>
      <w:ind w:left="567"/>
      <w:spacing w:after="57"/>
    </w:pPr>
  </w:style>
  <w:style w:type="paragraph" w:styleId="889">
    <w:name w:val="Plain Text"/>
    <w:basedOn w:val="856"/>
    <w:uiPriority w:val="0"/>
    <w:qFormat/>
    <w:rPr>
      <w:rFonts w:ascii="宋体" w:hAnsi="Courier New"/>
      <w:szCs w:val="20"/>
    </w:rPr>
  </w:style>
  <w:style w:type="paragraph" w:styleId="890">
    <w:name w:val="toc 8"/>
    <w:basedOn w:val="856"/>
    <w:next w:val="856"/>
    <w:uiPriority w:val="39"/>
    <w:unhideWhenUsed/>
    <w:qFormat/>
    <w:pPr>
      <w:ind w:left="1984"/>
      <w:spacing w:after="57"/>
    </w:pPr>
  </w:style>
  <w:style w:type="paragraph" w:styleId="891">
    <w:name w:val="endnote text"/>
    <w:basedOn w:val="856"/>
    <w:link w:val="1098"/>
    <w:uiPriority w:val="99"/>
    <w:unhideWhenUsed/>
    <w:qFormat/>
    <w:rPr>
      <w:sz w:val="20"/>
    </w:rPr>
  </w:style>
  <w:style w:type="paragraph" w:styleId="892">
    <w:name w:val="Balloon Text"/>
    <w:basedOn w:val="856"/>
    <w:link w:val="1123"/>
    <w:uiPriority w:val="99"/>
    <w:unhideWhenUsed/>
    <w:qFormat/>
    <w:rPr>
      <w:sz w:val="18"/>
      <w:szCs w:val="18"/>
    </w:rPr>
  </w:style>
  <w:style w:type="paragraph" w:styleId="893">
    <w:name w:val="Footer"/>
    <w:basedOn w:val="856"/>
    <w:uiPriority w:val="99"/>
    <w:qFormat/>
    <w:pPr>
      <w:jc w:val="left"/>
      <w:tabs>
        <w:tab w:val="center" w:pos="4153" w:leader="none"/>
        <w:tab w:val="right" w:pos="8306" w:leader="none"/>
      </w:tabs>
    </w:pPr>
    <w:rPr>
      <w:sz w:val="18"/>
      <w:szCs w:val="18"/>
    </w:rPr>
  </w:style>
  <w:style w:type="paragraph" w:styleId="894">
    <w:name w:val="Header"/>
    <w:basedOn w:val="856"/>
    <w:uiPriority w:val="99"/>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56"/>
    <w:next w:val="856"/>
    <w:uiPriority w:val="39"/>
    <w:qFormat/>
  </w:style>
  <w:style w:type="paragraph" w:styleId="896">
    <w:name w:val="toc 4"/>
    <w:basedOn w:val="856"/>
    <w:next w:val="856"/>
    <w:uiPriority w:val="39"/>
    <w:unhideWhenUsed/>
    <w:qFormat/>
    <w:pPr>
      <w:ind w:left="850"/>
      <w:spacing w:after="57"/>
    </w:pPr>
  </w:style>
  <w:style w:type="paragraph" w:styleId="897">
    <w:name w:val="Subtitle"/>
    <w:basedOn w:val="856"/>
    <w:next w:val="856"/>
    <w:link w:val="983"/>
    <w:uiPriority w:val="11"/>
    <w:qFormat/>
    <w:pPr>
      <w:spacing w:before="200" w:after="200"/>
    </w:pPr>
    <w:rPr>
      <w:sz w:val="24"/>
    </w:rPr>
  </w:style>
  <w:style w:type="paragraph" w:styleId="898">
    <w:name w:val="footnote text"/>
    <w:basedOn w:val="856"/>
    <w:next w:val="871"/>
    <w:link w:val="1097"/>
    <w:uiPriority w:val="99"/>
    <w:unhideWhenUsed/>
    <w:qFormat/>
    <w:pPr>
      <w:spacing w:after="40"/>
    </w:pPr>
    <w:rPr>
      <w:sz w:val="18"/>
    </w:rPr>
  </w:style>
  <w:style w:type="paragraph" w:styleId="899">
    <w:name w:val="toc 6"/>
    <w:basedOn w:val="856"/>
    <w:next w:val="856"/>
    <w:uiPriority w:val="39"/>
    <w:unhideWhenUsed/>
    <w:qFormat/>
    <w:pPr>
      <w:ind w:left="1417"/>
      <w:spacing w:after="57"/>
    </w:pPr>
  </w:style>
  <w:style w:type="paragraph" w:styleId="900">
    <w:name w:val="table of figures"/>
    <w:basedOn w:val="856"/>
    <w:next w:val="856"/>
    <w:uiPriority w:val="99"/>
    <w:unhideWhenUsed/>
    <w:qFormat/>
  </w:style>
  <w:style w:type="paragraph" w:styleId="901">
    <w:name w:val="toc 2"/>
    <w:basedOn w:val="856"/>
    <w:next w:val="856"/>
    <w:uiPriority w:val="39"/>
    <w:unhideWhenUsed/>
    <w:qFormat/>
    <w:pPr>
      <w:ind w:left="283"/>
      <w:spacing w:after="57"/>
    </w:pPr>
  </w:style>
  <w:style w:type="paragraph" w:styleId="902">
    <w:name w:val="toc 9"/>
    <w:basedOn w:val="856"/>
    <w:next w:val="856"/>
    <w:uiPriority w:val="39"/>
    <w:unhideWhenUsed/>
    <w:qFormat/>
    <w:pPr>
      <w:ind w:left="2268"/>
      <w:spacing w:after="57"/>
    </w:pPr>
  </w:style>
  <w:style w:type="paragraph" w:styleId="903">
    <w:name w:val="Title"/>
    <w:basedOn w:val="856"/>
    <w:next w:val="856"/>
    <w:link w:val="982"/>
    <w:uiPriority w:val="10"/>
    <w:qFormat/>
    <w:pPr>
      <w:contextualSpacing/>
      <w:spacing w:before="300" w:after="200"/>
    </w:pPr>
    <w:rPr>
      <w:sz w:val="48"/>
      <w:szCs w:val="48"/>
    </w:rPr>
  </w:style>
  <w:style w:type="paragraph" w:styleId="904">
    <w:name w:val="annotation subject"/>
    <w:basedOn w:val="872"/>
    <w:next w:val="872"/>
    <w:link w:val="1125"/>
    <w:uiPriority w:val="99"/>
    <w:unhideWhenUsed/>
    <w:qFormat/>
    <w:rPr>
      <w:b/>
      <w:bCs/>
    </w:rPr>
  </w:style>
  <w:style w:type="table" w:styleId="905">
    <w:name w:val="Table Grid"/>
    <w:basedOn w:val="86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endnote reference"/>
    <w:basedOn w:val="866"/>
    <w:uiPriority w:val="99"/>
    <w:unhideWhenUsed/>
    <w:qFormat/>
    <w:rPr>
      <w:vertAlign w:val="superscript"/>
    </w:rPr>
  </w:style>
  <w:style w:type="character" w:styleId="907">
    <w:name w:val="Hyperlink"/>
    <w:basedOn w:val="866"/>
    <w:uiPriority w:val="99"/>
    <w:unhideWhenUsed/>
    <w:qFormat/>
    <w:rPr>
      <w:color w:val="0000ff"/>
      <w:u w:val="single"/>
    </w:rPr>
  </w:style>
  <w:style w:type="character" w:styleId="908">
    <w:name w:val="annotation reference"/>
    <w:basedOn w:val="866"/>
    <w:uiPriority w:val="99"/>
    <w:unhideWhenUsed/>
    <w:qFormat/>
    <w:rPr>
      <w:sz w:val="21"/>
      <w:szCs w:val="21"/>
    </w:rPr>
  </w:style>
  <w:style w:type="character" w:styleId="909">
    <w:name w:val="footnote reference"/>
    <w:basedOn w:val="866"/>
    <w:uiPriority w:val="99"/>
    <w:unhideWhenUsed/>
    <w:qFormat/>
    <w:rPr>
      <w:vertAlign w:val="superscript"/>
    </w:rPr>
  </w:style>
  <w:style w:type="paragraph" w:styleId="910"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911" w:customStyle="1">
    <w:name w:val="正文缩进1"/>
    <w:basedOn w:val="856"/>
    <w:uiPriority w:val="0"/>
    <w:qFormat/>
    <w:pPr>
      <w:ind w:firstLine="420"/>
    </w:pPr>
  </w:style>
  <w:style w:type="paragraph" w:styleId="912">
    <w:name w:val="List Paragraph"/>
    <w:basedOn w:val="856"/>
    <w:uiPriority w:val="34"/>
    <w:qFormat/>
    <w:pPr>
      <w:contextualSpacing/>
      <w:ind w:left="720"/>
    </w:pPr>
  </w:style>
  <w:style w:type="paragraph" w:styleId="913">
    <w:name w:val="No Spacing"/>
    <w:uiPriority w:val="1"/>
    <w:qFormat/>
    <w:pPr>
      <w:spacing w:before="0" w:after="0" w:line="240" w:lineRule="auto"/>
    </w:pPr>
    <w:rPr>
      <w:rFonts w:hint="default" w:ascii="Times New Roman" w:hAnsi="Times New Roman" w:eastAsia="宋体" w:cs="Times New Roman"/>
    </w:rPr>
  </w:style>
  <w:style w:type="paragraph" w:styleId="914">
    <w:name w:val="Quote"/>
    <w:basedOn w:val="856"/>
    <w:next w:val="856"/>
    <w:uiPriority w:val="29"/>
    <w:qFormat/>
    <w:pPr>
      <w:ind w:left="720" w:right="720"/>
    </w:pPr>
    <w:rPr>
      <w:i/>
    </w:rPr>
  </w:style>
  <w:style w:type="paragraph" w:styleId="915">
    <w:name w:val="Intense Quote"/>
    <w:basedOn w:val="856"/>
    <w:next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16" w:customStyle="1">
    <w:name w:val="Plain Table 1"/>
    <w:basedOn w:val="8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2"/>
    <w:basedOn w:val="8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Plain Table 3"/>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Plain Table 4"/>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Plain Table 5"/>
    <w:basedOn w:val="8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1 Light"/>
    <w:basedOn w:val="8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Grid Table 2"/>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3"/>
    <w:basedOn w:val="8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basedOn w:val="8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5 Dark"/>
    <w:basedOn w:val="8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6 Colorful"/>
    <w:basedOn w:val="8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7 Colorful"/>
    <w:basedOn w:val="8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1 Light"/>
    <w:basedOn w:val="8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2"/>
    <w:basedOn w:val="8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3"/>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w:basedOn w:val="8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5 Dark"/>
    <w:basedOn w:val="8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8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7 Colorful"/>
    <w:basedOn w:val="8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5" w:customStyle="1">
    <w:name w:val="TOC Heading"/>
    <w:uiPriority w:val="39"/>
    <w:unhideWhenUsed/>
    <w:qFormat/>
    <w:rPr>
      <w:rFonts w:hint="default" w:ascii="Times New Roman" w:hAnsi="Times New Roman" w:eastAsia="宋体" w:cs="Times New Roman"/>
    </w:rPr>
  </w:style>
  <w:style w:type="table" w:styleId="936"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6"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清单表 1 浅色1"/>
    <w:basedOn w:val="8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basedOn w:val="8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清单表 7 彩色1"/>
    <w:basedOn w:val="8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5"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956" w:customStyle="1">
    <w:name w:val="Heading 1 Char"/>
    <w:basedOn w:val="866"/>
    <w:uiPriority w:val="9"/>
    <w:qFormat/>
    <w:rPr>
      <w:rFonts w:ascii="Arial" w:hAnsi="Arial" w:eastAsia="Arial" w:cs="Arial"/>
      <w:sz w:val="40"/>
      <w:szCs w:val="40"/>
    </w:rPr>
  </w:style>
  <w:style w:type="character" w:styleId="957" w:customStyle="1">
    <w:name w:val="Heading 3 Char"/>
    <w:basedOn w:val="866"/>
    <w:uiPriority w:val="9"/>
    <w:qFormat/>
    <w:rPr>
      <w:rFonts w:ascii="Arial" w:hAnsi="Arial" w:eastAsia="Arial" w:cs="Arial"/>
      <w:sz w:val="30"/>
      <w:szCs w:val="30"/>
    </w:rPr>
  </w:style>
  <w:style w:type="character" w:styleId="958" w:customStyle="1">
    <w:name w:val="Heading 4 Char"/>
    <w:basedOn w:val="866"/>
    <w:uiPriority w:val="9"/>
    <w:qFormat/>
    <w:rPr>
      <w:rFonts w:ascii="Arial" w:hAnsi="Arial" w:eastAsia="Arial" w:cs="Arial"/>
      <w:b/>
      <w:bCs/>
      <w:sz w:val="26"/>
      <w:szCs w:val="26"/>
    </w:rPr>
  </w:style>
  <w:style w:type="character" w:styleId="959" w:customStyle="1">
    <w:name w:val="Heading 5 Char"/>
    <w:basedOn w:val="866"/>
    <w:uiPriority w:val="9"/>
    <w:qFormat/>
    <w:rPr>
      <w:rFonts w:ascii="Arial" w:hAnsi="Arial" w:eastAsia="Arial" w:cs="Arial"/>
      <w:b/>
      <w:bCs/>
      <w:sz w:val="24"/>
      <w:szCs w:val="24"/>
    </w:rPr>
  </w:style>
  <w:style w:type="character" w:styleId="960" w:customStyle="1">
    <w:name w:val="Heading 6 Char"/>
    <w:basedOn w:val="866"/>
    <w:uiPriority w:val="9"/>
    <w:qFormat/>
    <w:rPr>
      <w:rFonts w:ascii="Arial" w:hAnsi="Arial" w:eastAsia="Arial" w:cs="Arial"/>
      <w:b/>
      <w:bCs/>
      <w:sz w:val="22"/>
      <w:szCs w:val="22"/>
    </w:rPr>
  </w:style>
  <w:style w:type="character" w:styleId="961" w:customStyle="1">
    <w:name w:val="Heading 7 Char"/>
    <w:basedOn w:val="866"/>
    <w:uiPriority w:val="9"/>
    <w:qFormat/>
    <w:rPr>
      <w:rFonts w:ascii="Arial" w:hAnsi="Arial" w:eastAsia="Arial" w:cs="Arial"/>
      <w:b/>
      <w:bCs/>
      <w:i/>
      <w:iCs/>
      <w:sz w:val="22"/>
      <w:szCs w:val="22"/>
    </w:rPr>
  </w:style>
  <w:style w:type="character" w:styleId="962" w:customStyle="1">
    <w:name w:val="Heading 8 Char"/>
    <w:basedOn w:val="866"/>
    <w:uiPriority w:val="9"/>
    <w:qFormat/>
    <w:rPr>
      <w:rFonts w:ascii="Arial" w:hAnsi="Arial" w:eastAsia="Arial" w:cs="Arial"/>
      <w:i/>
      <w:iCs/>
      <w:sz w:val="22"/>
      <w:szCs w:val="22"/>
    </w:rPr>
  </w:style>
  <w:style w:type="character" w:styleId="963" w:customStyle="1">
    <w:name w:val="Heading 9 Char"/>
    <w:basedOn w:val="866"/>
    <w:uiPriority w:val="9"/>
    <w:qFormat/>
    <w:rPr>
      <w:rFonts w:ascii="Arial" w:hAnsi="Arial" w:eastAsia="Arial" w:cs="Arial"/>
      <w:i/>
      <w:iCs/>
      <w:sz w:val="21"/>
      <w:szCs w:val="21"/>
    </w:rPr>
  </w:style>
  <w:style w:type="character" w:styleId="964" w:customStyle="1">
    <w:name w:val="Title Char"/>
    <w:basedOn w:val="866"/>
    <w:uiPriority w:val="10"/>
    <w:qFormat/>
    <w:rPr>
      <w:sz w:val="48"/>
      <w:szCs w:val="48"/>
    </w:rPr>
  </w:style>
  <w:style w:type="character" w:styleId="965" w:customStyle="1">
    <w:name w:val="Subtitle Char"/>
    <w:basedOn w:val="866"/>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Footnote Text Char"/>
    <w:uiPriority w:val="99"/>
    <w:qFormat/>
    <w:rPr>
      <w:sz w:val="18"/>
    </w:rPr>
  </w:style>
  <w:style w:type="character" w:styleId="969" w:customStyle="1">
    <w:name w:val="Endnote Text Char"/>
    <w:uiPriority w:val="99"/>
    <w:qFormat/>
    <w:rPr>
      <w:sz w:val="20"/>
    </w:rPr>
  </w:style>
  <w:style w:type="paragraph" w:styleId="970"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971" w:customStyle="1">
    <w:name w:val="标题 1 字符"/>
    <w:basedOn w:val="866"/>
    <w:link w:val="857"/>
    <w:uiPriority w:val="9"/>
    <w:qFormat/>
    <w:rPr>
      <w:rFonts w:ascii="Arial" w:hAnsi="Arial" w:eastAsia="Arial" w:cs="Arial"/>
      <w:sz w:val="40"/>
      <w:szCs w:val="40"/>
    </w:rPr>
  </w:style>
  <w:style w:type="character" w:styleId="972" w:customStyle="1">
    <w:name w:val="Heading 2 Char"/>
    <w:basedOn w:val="866"/>
    <w:uiPriority w:val="9"/>
    <w:qFormat/>
    <w:rPr>
      <w:rFonts w:ascii="Arial" w:hAnsi="Arial" w:eastAsia="Arial" w:cs="Arial"/>
      <w:sz w:val="34"/>
    </w:rPr>
  </w:style>
  <w:style w:type="character" w:styleId="973" w:customStyle="1">
    <w:name w:val="标题 3 字符"/>
    <w:basedOn w:val="866"/>
    <w:link w:val="859"/>
    <w:uiPriority w:val="9"/>
    <w:qFormat/>
    <w:rPr>
      <w:rFonts w:ascii="Arial" w:hAnsi="Arial" w:eastAsia="Arial" w:cs="Arial"/>
      <w:sz w:val="30"/>
      <w:szCs w:val="30"/>
    </w:rPr>
  </w:style>
  <w:style w:type="character" w:styleId="974" w:customStyle="1">
    <w:name w:val="标题 4 字符"/>
    <w:basedOn w:val="866"/>
    <w:link w:val="860"/>
    <w:uiPriority w:val="9"/>
    <w:qFormat/>
    <w:rPr>
      <w:rFonts w:ascii="Arial" w:hAnsi="Arial" w:eastAsia="Arial" w:cs="Arial"/>
      <w:b/>
      <w:bCs/>
      <w:sz w:val="26"/>
      <w:szCs w:val="26"/>
    </w:rPr>
  </w:style>
  <w:style w:type="character" w:styleId="975" w:customStyle="1">
    <w:name w:val="标题 5 字符"/>
    <w:basedOn w:val="866"/>
    <w:link w:val="861"/>
    <w:uiPriority w:val="9"/>
    <w:qFormat/>
    <w:rPr>
      <w:rFonts w:ascii="Arial" w:hAnsi="Arial" w:eastAsia="Arial" w:cs="Arial"/>
      <w:b/>
      <w:bCs/>
      <w:sz w:val="24"/>
      <w:szCs w:val="24"/>
    </w:rPr>
  </w:style>
  <w:style w:type="character" w:styleId="976" w:customStyle="1">
    <w:name w:val="标题 6 字符"/>
    <w:basedOn w:val="866"/>
    <w:link w:val="862"/>
    <w:uiPriority w:val="9"/>
    <w:qFormat/>
    <w:rPr>
      <w:rFonts w:ascii="Arial" w:hAnsi="Arial" w:eastAsia="Arial" w:cs="Arial"/>
      <w:b/>
      <w:bCs/>
      <w:sz w:val="22"/>
      <w:szCs w:val="22"/>
    </w:rPr>
  </w:style>
  <w:style w:type="character" w:styleId="977" w:customStyle="1">
    <w:name w:val="标题 7 字符"/>
    <w:basedOn w:val="866"/>
    <w:link w:val="863"/>
    <w:uiPriority w:val="9"/>
    <w:qFormat/>
    <w:rPr>
      <w:rFonts w:ascii="Arial" w:hAnsi="Arial" w:eastAsia="Arial" w:cs="Arial"/>
      <w:b/>
      <w:bCs/>
      <w:i/>
      <w:iCs/>
      <w:sz w:val="22"/>
      <w:szCs w:val="22"/>
    </w:rPr>
  </w:style>
  <w:style w:type="character" w:styleId="978" w:customStyle="1">
    <w:name w:val="标题 8 字符"/>
    <w:basedOn w:val="866"/>
    <w:link w:val="864"/>
    <w:uiPriority w:val="9"/>
    <w:qFormat/>
    <w:rPr>
      <w:rFonts w:ascii="Arial" w:hAnsi="Arial" w:eastAsia="Arial" w:cs="Arial"/>
      <w:i/>
      <w:iCs/>
      <w:sz w:val="22"/>
      <w:szCs w:val="22"/>
    </w:rPr>
  </w:style>
  <w:style w:type="character" w:styleId="979" w:customStyle="1">
    <w:name w:val="标题 9 字符"/>
    <w:basedOn w:val="866"/>
    <w:link w:val="865"/>
    <w:uiPriority w:val="9"/>
    <w:qFormat/>
    <w:rPr>
      <w:rFonts w:ascii="Arial" w:hAnsi="Arial" w:eastAsia="Arial" w:cs="Arial"/>
      <w:i/>
      <w:iCs/>
      <w:sz w:val="21"/>
      <w:szCs w:val="21"/>
    </w:rPr>
  </w:style>
  <w:style w:type="paragraph" w:styleId="980" w:customStyle="1">
    <w:name w:val="列表段落1"/>
    <w:basedOn w:val="856"/>
    <w:uiPriority w:val="34"/>
    <w:qFormat/>
    <w:pPr>
      <w:contextualSpacing/>
      <w:ind w:left="720"/>
    </w:pPr>
  </w:style>
  <w:style w:type="paragraph" w:styleId="981" w:customStyle="1">
    <w:name w:val="无间隔1"/>
    <w:uiPriority w:val="1"/>
    <w:qFormat/>
    <w:pPr>
      <w:spacing w:after="160" w:line="278" w:lineRule="auto"/>
    </w:pPr>
    <w:rPr>
      <w:rFonts w:hint="default" w:ascii="Calibri" w:hAnsi="Calibri" w:eastAsia="宋体" w:cs="Times New Roman"/>
      <w:lang w:val="en-US" w:eastAsia="zh-CN" w:bidi="ar-SA"/>
    </w:rPr>
  </w:style>
  <w:style w:type="character" w:styleId="982" w:customStyle="1">
    <w:name w:val="标题 字符"/>
    <w:basedOn w:val="866"/>
    <w:link w:val="903"/>
    <w:uiPriority w:val="10"/>
    <w:qFormat/>
    <w:rPr>
      <w:sz w:val="48"/>
      <w:szCs w:val="48"/>
    </w:rPr>
  </w:style>
  <w:style w:type="character" w:styleId="983" w:customStyle="1">
    <w:name w:val="副标题 字符"/>
    <w:basedOn w:val="866"/>
    <w:link w:val="897"/>
    <w:uiPriority w:val="11"/>
    <w:qFormat/>
    <w:rPr>
      <w:sz w:val="24"/>
      <w:szCs w:val="24"/>
    </w:rPr>
  </w:style>
  <w:style w:type="paragraph" w:styleId="984" w:customStyle="1">
    <w:name w:val="引用1"/>
    <w:basedOn w:val="856"/>
    <w:next w:val="856"/>
    <w:link w:val="985"/>
    <w:uiPriority w:val="29"/>
    <w:qFormat/>
    <w:pPr>
      <w:ind w:left="720" w:right="720"/>
    </w:pPr>
    <w:rPr>
      <w:i/>
    </w:rPr>
  </w:style>
  <w:style w:type="character" w:styleId="985" w:customStyle="1">
    <w:name w:val="引用 字符"/>
    <w:link w:val="984"/>
    <w:uiPriority w:val="29"/>
    <w:qFormat/>
    <w:rPr>
      <w:i/>
    </w:rPr>
  </w:style>
  <w:style w:type="paragraph" w:styleId="986" w:customStyle="1">
    <w:name w:val="明显引用1"/>
    <w:basedOn w:val="856"/>
    <w:next w:val="856"/>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明显引用 字符"/>
    <w:link w:val="986"/>
    <w:uiPriority w:val="30"/>
    <w:qFormat/>
    <w:rPr>
      <w:i/>
    </w:rPr>
  </w:style>
  <w:style w:type="character" w:styleId="988" w:customStyle="1">
    <w:name w:val="Header Char"/>
    <w:basedOn w:val="866"/>
    <w:uiPriority w:val="99"/>
    <w:qFormat/>
  </w:style>
  <w:style w:type="character" w:styleId="989" w:customStyle="1">
    <w:name w:val="Footer Char"/>
    <w:basedOn w:val="866"/>
    <w:uiPriority w:val="99"/>
    <w:qFormat/>
  </w:style>
  <w:style w:type="character" w:styleId="990" w:customStyle="1">
    <w:name w:val="Caption Char"/>
    <w:uiPriority w:val="99"/>
    <w:qFormat/>
  </w:style>
  <w:style w:type="table" w:styleId="991" w:customStyle="1">
    <w:name w:val="Table Grid Light"/>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92" w:customStyle="1">
    <w:name w:val="Grid Table 1 Light - Accent 1"/>
    <w:basedOn w:val="86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2"/>
    <w:basedOn w:val="8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3"/>
    <w:basedOn w:val="8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4"/>
    <w:basedOn w:val="8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5"/>
    <w:basedOn w:val="86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6"/>
    <w:basedOn w:val="8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8" w:customStyle="1">
    <w:name w:val="Grid Table 2 - Accent 1"/>
    <w:basedOn w:val="86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basedOn w:val="8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basedOn w:val="8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basedOn w:val="8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basedOn w:val="86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03" w:customStyle="1">
    <w:name w:val="Grid Table 2 - Accent 6"/>
    <w:basedOn w:val="8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4" w:customStyle="1">
    <w:name w:val="Grid Table 3 - Accent 1"/>
    <w:basedOn w:val="86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2"/>
    <w:basedOn w:val="8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3"/>
    <w:basedOn w:val="8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4"/>
    <w:basedOn w:val="8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5"/>
    <w:basedOn w:val="86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6"/>
    <w:basedOn w:val="8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4 - Accent 1"/>
    <w:basedOn w:val="86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11" w:customStyle="1">
    <w:name w:val="Grid Table 4 - Accent 2"/>
    <w:basedOn w:val="86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2" w:customStyle="1">
    <w:name w:val="Grid Table 4 - Accent 3"/>
    <w:basedOn w:val="86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3" w:customStyle="1">
    <w:name w:val="Grid Table 4 - Accent 4"/>
    <w:basedOn w:val="86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4" w:customStyle="1">
    <w:name w:val="Grid Table 4 - Accent 5"/>
    <w:basedOn w:val="86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15" w:customStyle="1">
    <w:name w:val="Grid Table 4 - Accent 6"/>
    <w:basedOn w:val="86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6" w:customStyle="1">
    <w:name w:val="Grid Table 5 Dark- Accent 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17" w:customStyle="1">
    <w:name w:val="Grid Table 5 Dark - Accent 2"/>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8" w:customStyle="1">
    <w:name w:val="Grid Table 5 Dark - Accent 3"/>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9" w:customStyle="1">
    <w:name w:val="Grid Table 5 Dark- Accent 4"/>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0" w:customStyle="1">
    <w:name w:val="Grid Table 5 Dark - Accent 5"/>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21" w:customStyle="1">
    <w:name w:val="Grid Table 5 Dark - Accent 6"/>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2" w:customStyle="1">
    <w:name w:val="Grid Table 6 Colorful - Accent 1"/>
    <w:basedOn w:val="86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23" w:customStyle="1">
    <w:name w:val="Grid Table 6 Colorful - Accent 2"/>
    <w:basedOn w:val="8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4" w:customStyle="1">
    <w:name w:val="Grid Table 6 Colorful - Accent 3"/>
    <w:basedOn w:val="86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5" w:customStyle="1">
    <w:name w:val="Grid Table 6 Colorful - Accent 4"/>
    <w:basedOn w:val="8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6" w:customStyle="1">
    <w:name w:val="Grid Table 6 Colorful - Accent 5"/>
    <w:basedOn w:val="86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7" w:customStyle="1">
    <w:name w:val="Grid Table 6 Colorful - Accent 6"/>
    <w:basedOn w:val="86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28" w:customStyle="1">
    <w:name w:val="Grid Table 7 Colorful - Accent 1"/>
    <w:basedOn w:val="86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29" w:customStyle="1">
    <w:name w:val="Grid Table 7 Colorful - Accent 2"/>
    <w:basedOn w:val="86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Grid Table 7 Colorful - Accent 3"/>
    <w:basedOn w:val="86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1" w:customStyle="1">
    <w:name w:val="Grid Table 7 Colorful - Accent 4"/>
    <w:basedOn w:val="86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Grid Table 7 Colorful - Accent 5"/>
    <w:basedOn w:val="86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33" w:customStyle="1">
    <w:name w:val="Grid Table 7 Colorful - Accent 6"/>
    <w:basedOn w:val="86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4" w:customStyle="1">
    <w:name w:val="List Table 1 Light - Accent 1"/>
    <w:basedOn w:val="86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basedOn w:val="86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basedOn w:val="86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basedOn w:val="86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basedOn w:val="86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basedOn w:val="86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0" w:customStyle="1">
    <w:name w:val="List Table 2 - Accent 1"/>
    <w:basedOn w:val="86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41" w:customStyle="1">
    <w:name w:val="List Table 2 - Accent 2"/>
    <w:basedOn w:val="86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2" w:customStyle="1">
    <w:name w:val="List Table 2 - Accent 3"/>
    <w:basedOn w:val="86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3" w:customStyle="1">
    <w:name w:val="List Table 2 - Accent 4"/>
    <w:basedOn w:val="86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4" w:customStyle="1">
    <w:name w:val="List Table 2 - Accent 5"/>
    <w:basedOn w:val="86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45" w:customStyle="1">
    <w:name w:val="List Table 2 - Accent 6"/>
    <w:basedOn w:val="86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6" w:customStyle="1">
    <w:name w:val="List Table 3 - Accent 1"/>
    <w:basedOn w:val="86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7" w:customStyle="1">
    <w:name w:val="List Table 3 - Accent 2"/>
    <w:basedOn w:val="8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8" w:customStyle="1">
    <w:name w:val="List Table 3 - Accent 3"/>
    <w:basedOn w:val="86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9" w:customStyle="1">
    <w:name w:val="List Table 3 - Accent 4"/>
    <w:basedOn w:val="8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0" w:customStyle="1">
    <w:name w:val="List Table 3 - Accent 5"/>
    <w:basedOn w:val="86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51" w:customStyle="1">
    <w:name w:val="List Table 3 - Accent 6"/>
    <w:basedOn w:val="86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2" w:customStyle="1">
    <w:name w:val="List Table 4 - Accent 1"/>
    <w:basedOn w:val="86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53" w:customStyle="1">
    <w:name w:val="List Table 4 - Accent 2"/>
    <w:basedOn w:val="86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4" w:customStyle="1">
    <w:name w:val="List Table 4 - Accent 3"/>
    <w:basedOn w:val="86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5" w:customStyle="1">
    <w:name w:val="List Table 4 - Accent 4"/>
    <w:basedOn w:val="86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6" w:customStyle="1">
    <w:name w:val="List Table 4 - Accent 5"/>
    <w:basedOn w:val="86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57" w:customStyle="1">
    <w:name w:val="List Table 4 - Accent 6"/>
    <w:basedOn w:val="86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8" w:customStyle="1">
    <w:name w:val="List Table 5 Dark - Accent 1"/>
    <w:basedOn w:val="86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2"/>
    <w:basedOn w:val="86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3"/>
    <w:basedOn w:val="86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4"/>
    <w:basedOn w:val="86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5"/>
    <w:basedOn w:val="86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6"/>
    <w:basedOn w:val="86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6 Colorful - Accent 1"/>
    <w:basedOn w:val="86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65" w:customStyle="1">
    <w:name w:val="List Table 6 Colorful - Accent 2"/>
    <w:basedOn w:val="86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6" w:customStyle="1">
    <w:name w:val="List Table 6 Colorful - Accent 3"/>
    <w:basedOn w:val="86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7" w:customStyle="1">
    <w:name w:val="List Table 6 Colorful - Accent 4"/>
    <w:basedOn w:val="86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68" w:customStyle="1">
    <w:name w:val="List Table 6 Colorful - Accent 5"/>
    <w:basedOn w:val="86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69" w:customStyle="1">
    <w:name w:val="List Table 6 Colorful - Accent 6"/>
    <w:basedOn w:val="86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0" w:customStyle="1">
    <w:name w:val="List Table 7 Colorful - Accent 1"/>
    <w:basedOn w:val="86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basedOn w:val="86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basedOn w:val="86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basedOn w:val="86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basedOn w:val="86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basedOn w:val="86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6" w:customStyle="1">
    <w:name w:val="Lined - Accent"/>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Lined - Accent 1"/>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78" w:customStyle="1">
    <w:name w:val="Lined - Accent 2"/>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79" w:customStyle="1">
    <w:name w:val="Lined - Accent 3"/>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0" w:customStyle="1">
    <w:name w:val="Lined - Accent 4"/>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1" w:customStyle="1">
    <w:name w:val="Lined - Accent 5"/>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2" w:customStyle="1">
    <w:name w:val="Lined - Accent 6"/>
    <w:basedOn w:val="8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3" w:customStyle="1">
    <w:name w:val="Bordered &amp; Lined - Accent"/>
    <w:basedOn w:val="8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4" w:customStyle="1">
    <w:name w:val="Bordered &amp; Lined - Accent 1"/>
    <w:basedOn w:val="86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85" w:customStyle="1">
    <w:name w:val="Bordered &amp; Lined - Accent 2"/>
    <w:basedOn w:val="86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6" w:customStyle="1">
    <w:name w:val="Bordered &amp; Lined - Accent 3"/>
    <w:basedOn w:val="86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7" w:customStyle="1">
    <w:name w:val="Bordered &amp; Lined - Accent 4"/>
    <w:basedOn w:val="86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8" w:customStyle="1">
    <w:name w:val="Bordered &amp; Lined - Accent 5"/>
    <w:basedOn w:val="86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9" w:customStyle="1">
    <w:name w:val="Bordered &amp; Lined - Accent 6"/>
    <w:basedOn w:val="86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0" w:customStyle="1">
    <w:name w:val="Bordered"/>
    <w:basedOn w:val="8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1" w:customStyle="1">
    <w:name w:val="Bordered - Accent 1"/>
    <w:basedOn w:val="86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92" w:customStyle="1">
    <w:name w:val="Bordered - Accent 2"/>
    <w:basedOn w:val="8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3" w:customStyle="1">
    <w:name w:val="Bordered - Accent 3"/>
    <w:basedOn w:val="8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4" w:customStyle="1">
    <w:name w:val="Bordered - Accent 4"/>
    <w:basedOn w:val="8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5" w:customStyle="1">
    <w:name w:val="Bordered - Accent 5"/>
    <w:basedOn w:val="86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96" w:customStyle="1">
    <w:name w:val="Bordered - Accent 6"/>
    <w:basedOn w:val="8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7" w:customStyle="1">
    <w:name w:val="脚注文本 字符"/>
    <w:link w:val="898"/>
    <w:uiPriority w:val="99"/>
    <w:qFormat/>
    <w:rPr>
      <w:sz w:val="18"/>
    </w:rPr>
  </w:style>
  <w:style w:type="character" w:styleId="1098" w:customStyle="1">
    <w:name w:val="尾注文本 字符"/>
    <w:link w:val="891"/>
    <w:uiPriority w:val="99"/>
    <w:qFormat/>
    <w:rPr>
      <w:sz w:val="20"/>
    </w:rPr>
  </w:style>
  <w:style w:type="paragraph" w:styleId="1099" w:customStyle="1">
    <w:name w:val="TOC 标题11"/>
    <w:uiPriority w:val="39"/>
    <w:unhideWhenUsed/>
    <w:qFormat/>
    <w:pPr>
      <w:spacing w:after="160" w:line="278" w:lineRule="auto"/>
    </w:pPr>
    <w:rPr>
      <w:rFonts w:hint="default" w:ascii="Calibri" w:hAnsi="Calibri" w:eastAsia="宋体" w:cs="Times New Roman"/>
      <w:lang w:val="en-US" w:eastAsia="zh-CN" w:bidi="ar-SA"/>
    </w:rPr>
  </w:style>
  <w:style w:type="paragraph" w:styleId="1100" w:customStyle="1">
    <w:name w:val="DAS正文"/>
    <w:basedOn w:val="856"/>
    <w:uiPriority w:val="0"/>
    <w:qFormat/>
    <w:pPr>
      <w:ind w:right="181" w:firstLine="480"/>
      <w:spacing w:line="360" w:lineRule="auto"/>
    </w:pPr>
    <w:rPr>
      <w:rFonts w:ascii="Verdana" w:hAnsi="Verdana"/>
    </w:rPr>
  </w:style>
  <w:style w:type="paragraph" w:styleId="1101" w:customStyle="1">
    <w:name w:val="正文首行缩进1"/>
    <w:basedOn w:val="1102"/>
    <w:next w:val="1104"/>
    <w:uiPriority w:val="0"/>
    <w:qFormat/>
    <w:pPr>
      <w:ind w:firstLine="420"/>
    </w:pPr>
  </w:style>
  <w:style w:type="paragraph" w:styleId="1102" w:customStyle="1">
    <w:name w:val="正文文本11"/>
    <w:basedOn w:val="1103"/>
    <w:next w:val="880"/>
    <w:uiPriority w:val="0"/>
    <w:qFormat/>
    <w:pPr>
      <w:spacing w:after="120"/>
    </w:pPr>
  </w:style>
  <w:style w:type="paragraph" w:styleId="1103" w:customStyle="1">
    <w:name w:val="正文112"/>
    <w:next w:val="11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首行缩进 21"/>
    <w:basedOn w:val="1105"/>
    <w:next w:val="878"/>
    <w:uiPriority w:val="0"/>
    <w:qFormat/>
    <w:pPr>
      <w:ind w:firstLine="420"/>
    </w:pPr>
    <w:rPr>
      <w:rFonts w:ascii="Times New Roman" w:hAnsi="Times New Roman"/>
    </w:rPr>
  </w:style>
  <w:style w:type="paragraph" w:styleId="1105" w:customStyle="1">
    <w:name w:val="正文文本缩进1"/>
    <w:basedOn w:val="882"/>
    <w:next w:val="1106"/>
    <w:uiPriority w:val="0"/>
    <w:qFormat/>
    <w:pPr>
      <w:ind w:left="420"/>
      <w:spacing w:after="120"/>
    </w:pPr>
    <w:rPr>
      <w:rFonts w:ascii="Calibri" w:hAnsi="Calibri"/>
    </w:rPr>
  </w:style>
  <w:style w:type="paragraph" w:styleId="1106" w:customStyle="1">
    <w:name w:val="寄信人地址1"/>
    <w:basedOn w:val="880"/>
    <w:uiPriority w:val="0"/>
    <w:qFormat/>
    <w:rPr>
      <w:rFonts w:ascii="Arial" w:hAnsi="Arial"/>
    </w:rPr>
  </w:style>
  <w:style w:type="paragraph" w:styleId="1107" w:customStyle="1">
    <w:name w:val="正文首行缩进11"/>
    <w:basedOn w:val="879"/>
    <w:next w:val="1108"/>
    <w:uiPriority w:val="0"/>
    <w:qFormat/>
    <w:pPr>
      <w:ind w:firstLine="420"/>
    </w:pPr>
    <w:rPr>
      <w:rFonts w:ascii="仿宋_GB2312" w:eastAsia="仿宋_GB2312"/>
      <w:sz w:val="30"/>
      <w:szCs w:val="30"/>
    </w:rPr>
  </w:style>
  <w:style w:type="paragraph" w:styleId="1108" w:customStyle="1">
    <w:name w:val="正文首行缩进 211"/>
    <w:basedOn w:val="1109"/>
    <w:uiPriority w:val="0"/>
    <w:qFormat/>
    <w:pPr>
      <w:ind w:firstLine="420"/>
    </w:pPr>
    <w:rPr>
      <w:rFonts w:ascii="Times New Roman" w:hAnsi="Times New Roman"/>
    </w:rPr>
  </w:style>
  <w:style w:type="paragraph" w:styleId="1109" w:customStyle="1">
    <w:name w:val="正文文本缩进11"/>
    <w:basedOn w:val="878"/>
    <w:next w:val="1110"/>
    <w:uiPriority w:val="0"/>
    <w:qFormat/>
    <w:pPr>
      <w:ind w:firstLine="425"/>
      <w:spacing w:line="360" w:lineRule="auto"/>
    </w:pPr>
  </w:style>
  <w:style w:type="paragraph" w:styleId="1110" w:customStyle="1">
    <w:name w:val="寄信人地址11"/>
    <w:basedOn w:val="880"/>
    <w:uiPriority w:val="0"/>
    <w:qFormat/>
    <w:rPr>
      <w:rFonts w:ascii="Arial" w:hAnsi="Arial"/>
    </w:rPr>
  </w:style>
  <w:style w:type="paragraph" w:styleId="1111" w:customStyle="1">
    <w:name w:val="正文13"/>
    <w:next w:val="11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目录 11"/>
    <w:basedOn w:val="882"/>
    <w:next w:val="882"/>
    <w:uiPriority w:val="0"/>
    <w:qFormat/>
    <w:pPr>
      <w:jc w:val="left"/>
      <w:spacing w:after="100" w:line="259" w:lineRule="auto"/>
      <w:widowControl/>
    </w:pPr>
    <w:rPr>
      <w:rFonts w:ascii="Calibri" w:hAnsi="Calibri"/>
      <w:sz w:val="22"/>
      <w:szCs w:val="22"/>
    </w:rPr>
  </w:style>
  <w:style w:type="paragraph" w:styleId="1113" w:customStyle="1">
    <w:name w:val="脚注文本1"/>
    <w:basedOn w:val="877"/>
    <w:next w:val="1114"/>
    <w:uiPriority w:val="0"/>
    <w:qFormat/>
    <w:rPr>
      <w:rFonts w:eastAsia="Times New Roman"/>
      <w:sz w:val="18"/>
      <w:szCs w:val="18"/>
    </w:rPr>
  </w:style>
  <w:style w:type="paragraph" w:styleId="1114" w:customStyle="1">
    <w:name w:val="索引 51"/>
    <w:basedOn w:val="877"/>
    <w:next w:val="877"/>
    <w:uiPriority w:val="0"/>
    <w:qFormat/>
    <w:pPr>
      <w:ind w:left="798"/>
    </w:pPr>
    <w:rPr>
      <w:rFonts w:ascii="Calibri"/>
    </w:rPr>
  </w:style>
  <w:style w:type="paragraph" w:styleId="1115" w:customStyle="1">
    <w:name w:val="标题 21"/>
    <w:basedOn w:val="856"/>
    <w:next w:val="856"/>
    <w:uiPriority w:val="0"/>
    <w:qFormat/>
    <w:pPr>
      <w:jc w:val="left"/>
      <w:keepLines/>
      <w:keepNext/>
      <w:spacing w:before="50"/>
      <w:tabs>
        <w:tab w:val="left" w:pos="0" w:leader="none"/>
      </w:tabs>
    </w:pPr>
    <w:rPr>
      <w:rFonts w:ascii="Arial" w:hAnsi="Arial" w:eastAsia="黑体"/>
      <w:sz w:val="32"/>
      <w:szCs w:val="20"/>
    </w:rPr>
  </w:style>
  <w:style w:type="character" w:styleId="1116" w:customStyle="1">
    <w:name w:val="NormalCharacter"/>
    <w:link w:val="878"/>
    <w:uiPriority w:val="0"/>
    <w:semiHidden/>
    <w:qFormat/>
    <w:rPr>
      <w:rFonts w:hint="default" w:ascii="Times New Roman" w:hAnsi="Times New Roman" w:eastAsia="宋体" w:cs="Times New Roman"/>
      <w:sz w:val="21"/>
      <w:szCs w:val="24"/>
      <w:lang w:val="en-US" w:eastAsia="zh-CN" w:bidi="ar-SA"/>
    </w:rPr>
  </w:style>
  <w:style w:type="paragraph" w:styleId="1117" w:customStyle="1">
    <w:name w:val="BodyTextIndent"/>
    <w:basedOn w:val="856"/>
    <w:next w:val="1118"/>
    <w:uiPriority w:val="0"/>
    <w:qFormat/>
    <w:pPr>
      <w:ind w:left="420"/>
      <w:spacing w:after="120"/>
    </w:pPr>
  </w:style>
  <w:style w:type="paragraph" w:styleId="1118" w:customStyle="1">
    <w:name w:val="EnvelopeReturn"/>
    <w:basedOn w:val="856"/>
    <w:uiPriority w:val="0"/>
    <w:qFormat/>
    <w:rPr>
      <w:rFonts w:ascii="Arial" w:hAnsi="Arial"/>
    </w:rPr>
  </w:style>
  <w:style w:type="paragraph" w:styleId="1119" w:customStyle="1">
    <w:name w:val="p0"/>
    <w:basedOn w:val="856"/>
    <w:uiPriority w:val="0"/>
    <w:qFormat/>
    <w:pPr>
      <w:widowControl/>
    </w:pPr>
    <w:rPr>
      <w:szCs w:val="21"/>
    </w:rPr>
  </w:style>
  <w:style w:type="table" w:styleId="1120" w:customStyle="1">
    <w:name w:val="Table Normal"/>
    <w:uiPriority w:val="0"/>
    <w:unhideWhenUsed/>
    <w:qFormat/>
    <w:rPr>
      <w:rFonts w:ascii="Arial" w:hAnsi="Arial" w:cs="Arial"/>
      <w:color w:val="000000"/>
      <w:szCs w:val="21"/>
    </w:rPr>
    <w:tblPr>
      <w:tblCellMar>
        <w:left w:w="0" w:type="dxa"/>
        <w:top w:w="0" w:type="dxa"/>
        <w:right w:w="0" w:type="dxa"/>
        <w:bottom w:w="0" w:type="dxa"/>
      </w:tblCellMar>
    </w:tblPr>
  </w:style>
  <w:style w:type="paragraph" w:styleId="1121" w:customStyle="1">
    <w:name w:val="方案表格"/>
    <w:basedOn w:val="856"/>
    <w:uiPriority w:val="0"/>
    <w:qFormat/>
    <w:pPr>
      <w:contextualSpacing/>
    </w:pPr>
    <w:rPr>
      <w:rFonts w:cstheme="minorBidi"/>
      <w:szCs w:val="21"/>
    </w:rPr>
  </w:style>
  <w:style w:type="table" w:styleId="1122" w:customStyle="1">
    <w:name w:val="文档表格无标题列型（绿盟科技）"/>
    <w:basedOn w:val="905"/>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123" w:customStyle="1">
    <w:name w:val="批注框文本 字符"/>
    <w:basedOn w:val="866"/>
    <w:link w:val="892"/>
    <w:uiPriority w:val="99"/>
    <w:semiHidden/>
    <w:qFormat/>
    <w:rPr>
      <w:sz w:val="18"/>
      <w:szCs w:val="18"/>
    </w:rPr>
  </w:style>
  <w:style w:type="character" w:styleId="1124" w:customStyle="1">
    <w:name w:val="批注文字 字符"/>
    <w:basedOn w:val="866"/>
    <w:link w:val="872"/>
    <w:uiPriority w:val="0"/>
    <w:qFormat/>
    <w:rPr>
      <w:sz w:val="21"/>
      <w:szCs w:val="24"/>
    </w:rPr>
  </w:style>
  <w:style w:type="character" w:styleId="1125" w:customStyle="1">
    <w:name w:val="批注主题 字符"/>
    <w:basedOn w:val="1124"/>
    <w:link w:val="904"/>
    <w:uiPriority w:val="99"/>
    <w:semiHidden/>
    <w:qFormat/>
    <w:rPr>
      <w:b/>
      <w:bCs/>
      <w:sz w:val="21"/>
      <w:szCs w:val="24"/>
    </w:rPr>
  </w:style>
  <w:style w:type="character" w:styleId="1126" w:customStyle="1">
    <w:name w:val="font11"/>
    <w:basedOn w:val="866"/>
    <w:uiPriority w:val="0"/>
    <w:qFormat/>
    <w:rPr>
      <w:rFonts w:hint="eastAsia" w:ascii="宋体" w:hAnsi="宋体" w:eastAsia="宋体" w:cs="宋体"/>
      <w:color w:val="000000"/>
      <w:sz w:val="21"/>
      <w:szCs w:val="21"/>
      <w:u w:val="none"/>
    </w:rPr>
  </w:style>
  <w:style w:type="character" w:styleId="1127" w:customStyle="1">
    <w:name w:val="font01"/>
    <w:basedOn w:val="866"/>
    <w:uiPriority w:val="0"/>
    <w:qFormat/>
    <w:rPr>
      <w:rFonts w:hint="default" w:ascii="Times New Roman" w:hAnsi="Times New Roman" w:cs="Times New Roman"/>
      <w:color w:val="000000"/>
      <w:sz w:val="21"/>
      <w:szCs w:val="21"/>
      <w:u w:val="none"/>
    </w:rPr>
  </w:style>
  <w:style w:type="character" w:styleId="1128" w:customStyle="1">
    <w:name w:val="font21"/>
    <w:basedOn w:val="866"/>
    <w:uiPriority w:val="0"/>
    <w:qFormat/>
    <w:rPr>
      <w:rFonts w:hint="eastAsia" w:ascii="宋体" w:hAnsi="宋体" w:eastAsia="宋体" w:cs="宋体"/>
      <w:b/>
      <w:bCs/>
      <w:color w:val="000000"/>
      <w:sz w:val="22"/>
      <w:szCs w:val="22"/>
      <w:u w:val="none"/>
    </w:rPr>
  </w:style>
  <w:style w:type="character" w:styleId="1129" w:customStyle="1">
    <w:name w:val="font31"/>
    <w:basedOn w:val="866"/>
    <w:uiPriority w:val="0"/>
    <w:qFormat/>
    <w:rPr>
      <w:rFonts w:hint="eastAsia" w:ascii="宋体" w:hAnsi="宋体" w:eastAsia="宋体" w:cs="宋体"/>
      <w:color w:val="000000"/>
      <w:sz w:val="22"/>
      <w:szCs w:val="22"/>
      <w:u w:val="none"/>
    </w:rPr>
  </w:style>
  <w:style w:type="character" w:styleId="1130" w:customStyle="1">
    <w:name w:val="font51"/>
    <w:basedOn w:val="866"/>
    <w:uiPriority w:val="0"/>
    <w:qFormat/>
    <w:rPr>
      <w:rFonts w:hint="eastAsia" w:ascii="宋体" w:hAnsi="宋体" w:eastAsia="宋体" w:cs="宋体"/>
      <w:color w:val="000000"/>
      <w:sz w:val="21"/>
      <w:szCs w:val="21"/>
      <w:u w:val="none"/>
    </w:rPr>
  </w:style>
  <w:style w:type="paragraph" w:styleId="1131" w:customStyle="1">
    <w:name w:val="标题1"/>
    <w:basedOn w:val="856"/>
    <w:next w:val="856"/>
    <w:uiPriority w:val="10"/>
    <w:qFormat/>
    <w:pPr>
      <w:contextualSpacing/>
      <w:spacing w:before="300" w:after="200"/>
    </w:pPr>
    <w:rPr>
      <w:sz w:val="48"/>
      <w:szCs w:val="48"/>
    </w:rPr>
  </w:style>
  <w:style w:type="paragraph" w:styleId="1132" w:customStyle="1">
    <w:name w:val="页脚1"/>
    <w:basedOn w:val="856"/>
    <w:uiPriority w:val="99"/>
    <w:qFormat/>
    <w:pPr>
      <w:jc w:val="left"/>
      <w:tabs>
        <w:tab w:val="center" w:pos="4153" w:leader="none"/>
        <w:tab w:val="right" w:pos="8306" w:leader="none"/>
      </w:tabs>
    </w:pPr>
    <w:rPr>
      <w:sz w:val="18"/>
      <w:szCs w:val="18"/>
    </w:rPr>
  </w:style>
  <w:style w:type="paragraph" w:styleId="1133" w:customStyle="1">
    <w:name w:val="文本块1"/>
    <w:basedOn w:val="878"/>
    <w:next w:val="1134"/>
    <w:uiPriority w:val="0"/>
    <w:qFormat/>
    <w:pPr>
      <w:ind w:left="420" w:right="33"/>
      <w:jc w:val="left"/>
    </w:pPr>
    <w:rPr>
      <w:sz w:val="24"/>
      <w:szCs w:val="20"/>
    </w:rPr>
  </w:style>
  <w:style w:type="paragraph" w:styleId="1134" w:customStyle="1">
    <w:name w:val="标题 41"/>
    <w:basedOn w:val="1135"/>
    <w:next w:val="880"/>
    <w:uiPriority w:val="0"/>
    <w:qFormat/>
    <w:pPr>
      <w:keepLines/>
      <w:keepNext/>
      <w:spacing w:before="280" w:after="290" w:line="372" w:lineRule="auto"/>
      <w:outlineLvl w:val="3"/>
    </w:pPr>
    <w:rPr>
      <w:rFonts w:ascii="Cambria" w:hAnsi="Cambria"/>
      <w:b/>
      <w:bCs/>
      <w:sz w:val="28"/>
      <w:szCs w:val="28"/>
    </w:rPr>
  </w:style>
  <w:style w:type="paragraph" w:styleId="1135" w:customStyle="1">
    <w:name w:val="正文1111"/>
    <w:next w:val="11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标题 211"/>
    <w:basedOn w:val="856"/>
    <w:next w:val="1135"/>
    <w:uiPriority w:val="9"/>
    <w:qFormat/>
    <w:pPr>
      <w:keepLines/>
      <w:keepNext/>
      <w:spacing w:before="360" w:after="200"/>
      <w:outlineLvl w:val="1"/>
    </w:pPr>
    <w:rPr>
      <w:rFonts w:ascii="Arial" w:hAnsi="Arial" w:eastAsia="Arial" w:cs="Arial"/>
      <w:sz w:val="34"/>
    </w:rPr>
  </w:style>
  <w:style w:type="paragraph" w:styleId="1137" w:customStyle="1">
    <w:name w:val="Revision"/>
    <w:hidden/>
    <w:uiPriority w:val="99"/>
    <w:semiHidden/>
    <w:qFormat/>
    <w:rPr>
      <w:rFonts w:hint="default" w:ascii="Times New Roman" w:hAnsi="Times New Roman" w:eastAsia="宋体" w:cs="Times New Roman"/>
      <w:sz w:val="21"/>
      <w:szCs w:val="24"/>
      <w:lang w:val="en-US" w:eastAsia="zh-CN" w:bidi="ar-SA"/>
    </w:rPr>
  </w:style>
  <w:style w:type="paragraph" w:styleId="1138" w:customStyle="1">
    <w:name w:val="BlockQuote1"/>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paragraph" w:styleId="1139" w:customStyle="1">
    <w:name w:val="PlainText"/>
    <w:basedOn w:val="856"/>
    <w:uiPriority w:val="0"/>
    <w:qFormat/>
    <w:rPr>
      <w:rFonts w:ascii="宋体" w:hAnsi="Courier New"/>
      <w:szCs w:val="21"/>
    </w:rPr>
  </w:style>
  <w:style w:type="paragraph" w:styleId="1140" w:customStyle="1">
    <w:name w:val="标题 11"/>
    <w:basedOn w:val="856"/>
    <w:next w:val="856"/>
    <w:uiPriority w:val="0"/>
    <w:qFormat/>
    <w:pPr>
      <w:jc w:val="center"/>
      <w:keepLines/>
      <w:keepNext/>
      <w:spacing w:line="578" w:lineRule="auto"/>
      <w:outlineLvl w:val="0"/>
    </w:pPr>
    <w:rPr>
      <w:rFonts w:eastAsia="新宋体"/>
      <w:b/>
      <w:bCs/>
      <w:sz w:val="30"/>
      <w:szCs w:val="44"/>
    </w:rPr>
  </w:style>
  <w:style w:type="paragraph" w:styleId="1141" w:customStyle="1">
    <w:name w:val="正文_0"/>
    <w:uiPriority w:val="99"/>
    <w:unhideWhenUsed/>
    <w:qFormat/>
    <w:rPr>
      <w:rFonts w:hint="eastAsia" w:ascii="Times New Roman" w:hAnsi="Times New Roman" w:eastAsia="宋体" w:cs="Times New Roman"/>
      <w:sz w:val="21"/>
      <w:lang w:val="en-US" w:eastAsia="zh-CN" w:bidi="ar-SA"/>
    </w:rPr>
  </w:style>
  <w:style w:type="paragraph" w:styleId="1142" w:customStyle="1">
    <w:name w:val="_正文段落"/>
    <w:basedOn w:val="856"/>
    <w:uiPriority w:val="0"/>
    <w:qFormat/>
    <w:pPr>
      <w:ind w:firstLine="200"/>
      <w:spacing w:line="560" w:lineRule="exact"/>
    </w:pPr>
    <w:rPr>
      <w:rFonts w:ascii="Calibri" w:hAnsi="Calibri" w:eastAsia="仿宋_GB2312" w:cstheme="minorBidi"/>
      <w:color w:val="000000"/>
      <w:sz w:val="32"/>
    </w:rPr>
  </w:style>
  <w:style w:type="paragraph" w:styleId="1143" w:customStyle="1">
    <w:name w:val="列出段落2"/>
    <w:basedOn w:val="856"/>
    <w:uiPriority w:val="34"/>
    <w:qFormat/>
    <w:pPr>
      <w:ind w:firstLine="420"/>
    </w:pPr>
  </w:style>
  <w:style w:type="paragraph" w:styleId="1144" w:customStyle="1">
    <w:name w:val="文本块11"/>
    <w:basedOn w:val="856"/>
    <w:uiPriority w:val="6"/>
    <w:unhideWhenUsed/>
    <w:qFormat/>
    <w:pPr>
      <w:ind w:left="1440" w:right="1440"/>
      <w:spacing w:after="120"/>
    </w:pPr>
  </w:style>
  <w:style w:type="paragraph" w:styleId="1145" w:customStyle="1">
    <w:name w:val="目录 1111"/>
    <w:next w:val="856"/>
    <w:uiPriority w:val="39"/>
    <w:unhideWhenUsed/>
    <w:qFormat/>
    <w:pPr>
      <w:jc w:val="both"/>
      <w:spacing w:after="57"/>
      <w:widowControl w:val="off"/>
    </w:pPr>
    <w:rPr>
      <w:rFonts w:hint="default" w:ascii="Times New Roman" w:hAnsi="Times New Roman" w:eastAsia="宋体" w:cs="Times New Roman"/>
      <w:sz w:val="21"/>
      <w:szCs w:val="24"/>
      <w:lang w:val="en-US" w:eastAsia="zh-CN" w:bidi="ar-SA"/>
    </w:r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董亮</cp:lastModifiedBy>
  <cp:revision>43</cp:revision>
  <dcterms:created xsi:type="dcterms:W3CDTF">2023-09-20T08:15:00Z</dcterms:created>
  <dcterms:modified xsi:type="dcterms:W3CDTF">2026-01-04T07:52:26Z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F2850048E498400CA4AAC09EFDF6A010_13</vt:lpwstr>
  </property>
  <property fmtid="{D5CDD505-2E9C-101B-9397-08002B2CF9AE}" pid="4" name="KSOTemplateDocerSaveRecord">
    <vt:lpwstr>eyJoZGlkIjoiZWQ0NTcyNmEzODU1ODk2MGE3ODNkMjJiNmY0MWY5ZTciLCJ1c2VySWQiOiIzNjA2MjE0ODEifQ==</vt:lpwstr>
  </property>
</Properties>
</file>